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2803E" w14:textId="1E13AEB4" w:rsidR="005E3053" w:rsidRDefault="005E3053"/>
    <w:p w14:paraId="76CC1A7C" w14:textId="77777777" w:rsidR="00C9577F" w:rsidRPr="00C9577F" w:rsidRDefault="00C9577F" w:rsidP="000C521A">
      <w:pPr>
        <w:jc w:val="center"/>
        <w:rPr>
          <w:b/>
        </w:rPr>
      </w:pPr>
      <w:r w:rsidRPr="00C9577F">
        <w:rPr>
          <w:b/>
        </w:rPr>
        <w:t>TEMPORARY LOCAL PLANNING INSTRUMENT NUMBER X OF 2021</w:t>
      </w:r>
    </w:p>
    <w:p w14:paraId="01707061" w14:textId="7C88B2FD" w:rsidR="00C9577F" w:rsidRPr="00C9577F" w:rsidRDefault="00C9577F" w:rsidP="000C521A">
      <w:pPr>
        <w:jc w:val="center"/>
        <w:rPr>
          <w:b/>
        </w:rPr>
      </w:pPr>
      <w:r w:rsidRPr="00C9577F">
        <w:rPr>
          <w:b/>
        </w:rPr>
        <w:t xml:space="preserve">AVAILABLE AND AFFORDABLE LIVING </w:t>
      </w:r>
      <w:r w:rsidR="009E36D2">
        <w:rPr>
          <w:b/>
        </w:rPr>
        <w:t>CODE</w:t>
      </w:r>
    </w:p>
    <w:p w14:paraId="19ED905B" w14:textId="0F21095A" w:rsidR="00C9577F" w:rsidRDefault="00C9577F"/>
    <w:p w14:paraId="7421E44A" w14:textId="5193F2EF" w:rsidR="00C9577F" w:rsidRDefault="00C9577F">
      <w:r>
        <w:t>(name of Council planning scheme)</w:t>
      </w:r>
    </w:p>
    <w:p w14:paraId="7DB0BBBC" w14:textId="77777777" w:rsidR="00C9577F" w:rsidRPr="009E36D2" w:rsidRDefault="00C9577F" w:rsidP="00725B3E">
      <w:pPr>
        <w:pStyle w:val="ListParagraph"/>
        <w:numPr>
          <w:ilvl w:val="0"/>
          <w:numId w:val="1"/>
        </w:numPr>
        <w:ind w:left="357" w:hanging="357"/>
        <w:contextualSpacing w:val="0"/>
        <w:rPr>
          <w:b/>
          <w:bCs/>
        </w:rPr>
      </w:pPr>
      <w:r w:rsidRPr="009E36D2">
        <w:rPr>
          <w:b/>
          <w:bCs/>
        </w:rPr>
        <w:t>Short Title</w:t>
      </w:r>
    </w:p>
    <w:p w14:paraId="40A100C0" w14:textId="0BF2EF52" w:rsidR="00C9577F" w:rsidRDefault="00C9577F" w:rsidP="00C9577F">
      <w:pPr>
        <w:pStyle w:val="ListParagraph"/>
        <w:ind w:left="360"/>
      </w:pPr>
      <w:r>
        <w:t xml:space="preserve">This </w:t>
      </w:r>
      <w:r w:rsidR="00EC2681">
        <w:t xml:space="preserve">Temporary Local Planning Instrument </w:t>
      </w:r>
      <w:r>
        <w:t>(</w:t>
      </w:r>
      <w:r w:rsidRPr="00EC2681">
        <w:rPr>
          <w:b/>
          <w:bCs/>
        </w:rPr>
        <w:t>TLPI</w:t>
      </w:r>
      <w:r>
        <w:t>) may be cited as Temporary Local Planning Instrument X/2021-Available Affordable Living</w:t>
      </w:r>
      <w:r w:rsidR="00214365">
        <w:t xml:space="preserve"> Code</w:t>
      </w:r>
      <w:r>
        <w:t>.</w:t>
      </w:r>
    </w:p>
    <w:p w14:paraId="18DC9C42" w14:textId="77777777" w:rsidR="00141994" w:rsidRDefault="00141994" w:rsidP="00C9577F">
      <w:pPr>
        <w:pStyle w:val="ListParagraph"/>
        <w:ind w:left="360"/>
      </w:pPr>
    </w:p>
    <w:p w14:paraId="0B59DC01" w14:textId="77777777" w:rsidR="00C9577F" w:rsidRPr="009E36D2" w:rsidRDefault="00C9577F" w:rsidP="00725B3E">
      <w:pPr>
        <w:pStyle w:val="ListParagraph"/>
        <w:numPr>
          <w:ilvl w:val="0"/>
          <w:numId w:val="1"/>
        </w:numPr>
        <w:ind w:left="357" w:hanging="357"/>
        <w:contextualSpacing w:val="0"/>
        <w:rPr>
          <w:b/>
          <w:bCs/>
        </w:rPr>
      </w:pPr>
      <w:r w:rsidRPr="009E36D2">
        <w:rPr>
          <w:b/>
          <w:bCs/>
        </w:rPr>
        <w:t>Overview</w:t>
      </w:r>
    </w:p>
    <w:p w14:paraId="269D8FDD" w14:textId="493E0FE2" w:rsidR="00C9577F" w:rsidRDefault="00C9577F" w:rsidP="006672EA">
      <w:pPr>
        <w:pStyle w:val="ListParagraph"/>
        <w:numPr>
          <w:ilvl w:val="1"/>
          <w:numId w:val="1"/>
        </w:numPr>
        <w:spacing w:before="120" w:after="120"/>
        <w:ind w:left="1134" w:hanging="567"/>
        <w:contextualSpacing w:val="0"/>
      </w:pPr>
      <w:r>
        <w:t>This TLPI enables the provision of residential accommodation for those currently having difficulty finding available and affordable accommodation within the (name of Council) local government area.</w:t>
      </w:r>
    </w:p>
    <w:p w14:paraId="26826FAF" w14:textId="25A1A41C" w:rsidR="006672EA" w:rsidRDefault="006672EA" w:rsidP="006672EA">
      <w:pPr>
        <w:pStyle w:val="ListParagraph"/>
        <w:numPr>
          <w:ilvl w:val="1"/>
          <w:numId w:val="1"/>
        </w:numPr>
        <w:spacing w:before="120" w:after="120"/>
        <w:ind w:left="1134" w:hanging="567"/>
        <w:contextualSpacing w:val="0"/>
      </w:pPr>
      <w:r>
        <w:t>Whilst long term solutions are needed for the housing crisis, the immediate needs of people must be addressed and the long term planning aspirations of the community should not be prejudiced.</w:t>
      </w:r>
    </w:p>
    <w:p w14:paraId="5458B239" w14:textId="3C86A32D" w:rsidR="00AD6C72" w:rsidRDefault="00AD6C72" w:rsidP="006672EA">
      <w:pPr>
        <w:pStyle w:val="ListParagraph"/>
        <w:numPr>
          <w:ilvl w:val="1"/>
          <w:numId w:val="1"/>
        </w:numPr>
        <w:spacing w:before="120" w:after="120"/>
        <w:ind w:left="1134" w:hanging="567"/>
        <w:contextualSpacing w:val="0"/>
      </w:pPr>
      <w:r>
        <w:t xml:space="preserve">Following the outbreak of Covid 19 there has been significant stress placed on the residential tenancy market that has seen the need for accommodation at the </w:t>
      </w:r>
      <w:r w:rsidR="005E348B">
        <w:t>a</w:t>
      </w:r>
      <w:r>
        <w:t xml:space="preserve">ffordable </w:t>
      </w:r>
      <w:r w:rsidR="005E348B">
        <w:t>l</w:t>
      </w:r>
      <w:r>
        <w:t xml:space="preserve">iving </w:t>
      </w:r>
      <w:r w:rsidR="005E348B">
        <w:t>c</w:t>
      </w:r>
      <w:r>
        <w:t>omponent of the market, typically just above crisis accommodation, become unavailable to people who are then forced to sleep rough.</w:t>
      </w:r>
    </w:p>
    <w:p w14:paraId="757BE8C2" w14:textId="702E325D" w:rsidR="003F1954" w:rsidRDefault="003F1954" w:rsidP="006672EA">
      <w:pPr>
        <w:pStyle w:val="ListParagraph"/>
        <w:numPr>
          <w:ilvl w:val="1"/>
          <w:numId w:val="1"/>
        </w:numPr>
        <w:spacing w:before="120" w:after="120"/>
        <w:ind w:left="1134" w:hanging="567"/>
        <w:contextualSpacing w:val="0"/>
      </w:pPr>
      <w:r>
        <w:t>That stress has occurred with the return of expatriates to Australia, the migration of people to Queensland and demographic shifts away from capit</w:t>
      </w:r>
      <w:r w:rsidR="00C36F75">
        <w:t>a</w:t>
      </w:r>
      <w:r>
        <w:t>l cities.</w:t>
      </w:r>
    </w:p>
    <w:p w14:paraId="7558C9ED" w14:textId="2EB3124F" w:rsidR="00AD6C72" w:rsidRDefault="00AD6C72" w:rsidP="006672EA">
      <w:pPr>
        <w:pStyle w:val="ListParagraph"/>
        <w:numPr>
          <w:ilvl w:val="1"/>
          <w:numId w:val="1"/>
        </w:numPr>
        <w:spacing w:before="120" w:after="120"/>
        <w:ind w:left="1134" w:hanging="567"/>
        <w:contextualSpacing w:val="0"/>
      </w:pPr>
      <w:r>
        <w:t xml:space="preserve">The current </w:t>
      </w:r>
      <w:r w:rsidR="00C36F75">
        <w:t>vacancy</w:t>
      </w:r>
      <w:r>
        <w:t xml:space="preserve"> rate for accommodation within the local government area is xxx%.</w:t>
      </w:r>
    </w:p>
    <w:p w14:paraId="2D2E8BD8" w14:textId="3DB840BC" w:rsidR="00AD6C72" w:rsidRDefault="003F1954" w:rsidP="006672EA">
      <w:pPr>
        <w:pStyle w:val="ListParagraph"/>
        <w:numPr>
          <w:ilvl w:val="1"/>
          <w:numId w:val="1"/>
        </w:numPr>
        <w:spacing w:before="120" w:after="120"/>
        <w:ind w:left="1134" w:hanging="567"/>
        <w:contextualSpacing w:val="0"/>
      </w:pPr>
      <w:r>
        <w:t xml:space="preserve">A healthy rental market where there is a balance between owners and tenants occurs when the </w:t>
      </w:r>
      <w:r w:rsidR="00725B3E">
        <w:t>vacancy</w:t>
      </w:r>
      <w:r>
        <w:t xml:space="preserve"> rate for accommodation is around 3%.</w:t>
      </w:r>
    </w:p>
    <w:p w14:paraId="03A6C824" w14:textId="312C1DE4" w:rsidR="003F1954" w:rsidRDefault="003F1954" w:rsidP="006672EA">
      <w:pPr>
        <w:pStyle w:val="ListParagraph"/>
        <w:numPr>
          <w:ilvl w:val="1"/>
          <w:numId w:val="1"/>
        </w:numPr>
        <w:spacing w:before="120" w:after="120"/>
        <w:ind w:left="1134" w:hanging="567"/>
        <w:contextualSpacing w:val="0"/>
      </w:pPr>
      <w:r>
        <w:t xml:space="preserve">The impacts of restrictions on international </w:t>
      </w:r>
      <w:r w:rsidR="00193D52">
        <w:t>trade</w:t>
      </w:r>
      <w:r>
        <w:t xml:space="preserve"> have meant that </w:t>
      </w:r>
      <w:r w:rsidR="00193D52">
        <w:t>there are significant supply shortages affecting residential construction.</w:t>
      </w:r>
    </w:p>
    <w:p w14:paraId="04838415" w14:textId="5DEFDFDD" w:rsidR="00193D52" w:rsidRDefault="00193D52" w:rsidP="006672EA">
      <w:pPr>
        <w:pStyle w:val="ListParagraph"/>
        <w:numPr>
          <w:ilvl w:val="1"/>
          <w:numId w:val="1"/>
        </w:numPr>
        <w:spacing w:before="120" w:after="120"/>
        <w:ind w:left="1134" w:hanging="567"/>
        <w:contextualSpacing w:val="0"/>
      </w:pPr>
      <w:r>
        <w:t>There are significant labour shortages in the construction industry with the demand for accommodation construction increasing.</w:t>
      </w:r>
    </w:p>
    <w:p w14:paraId="566C19B2" w14:textId="43AE352C" w:rsidR="00193D52" w:rsidRDefault="00193D52" w:rsidP="006672EA">
      <w:pPr>
        <w:pStyle w:val="ListParagraph"/>
        <w:numPr>
          <w:ilvl w:val="1"/>
          <w:numId w:val="1"/>
        </w:numPr>
        <w:spacing w:before="120" w:after="120"/>
        <w:ind w:left="1134" w:hanging="567"/>
        <w:contextualSpacing w:val="0"/>
      </w:pPr>
      <w:r>
        <w:t>Current planning laws are not allowing the current residential crisis to be met.</w:t>
      </w:r>
    </w:p>
    <w:p w14:paraId="0E4EB138" w14:textId="60E37E20" w:rsidR="00193D52" w:rsidRDefault="00193D52" w:rsidP="006672EA">
      <w:pPr>
        <w:pStyle w:val="ListParagraph"/>
        <w:numPr>
          <w:ilvl w:val="1"/>
          <w:numId w:val="1"/>
        </w:numPr>
        <w:spacing w:before="120" w:after="120"/>
        <w:ind w:left="1134" w:hanging="567"/>
        <w:contextualSpacing w:val="0"/>
      </w:pPr>
      <w:r>
        <w:t>This TLPI seeks to provide an immediate solution to the crisis whilst allowing the long term planning solutions to be considered and implemented.</w:t>
      </w:r>
    </w:p>
    <w:p w14:paraId="7307A205" w14:textId="4D19081A" w:rsidR="003F5C2F" w:rsidRDefault="00C9577F" w:rsidP="006672EA">
      <w:pPr>
        <w:pStyle w:val="ListParagraph"/>
        <w:numPr>
          <w:ilvl w:val="1"/>
          <w:numId w:val="1"/>
        </w:numPr>
        <w:spacing w:before="120" w:after="120"/>
        <w:ind w:left="1134" w:hanging="567"/>
        <w:contextualSpacing w:val="0"/>
      </w:pPr>
      <w:r>
        <w:t>This TLPI</w:t>
      </w:r>
      <w:r w:rsidR="003F5C2F">
        <w:t xml:space="preserve"> seeks to temporarily</w:t>
      </w:r>
      <w:r w:rsidR="00DC5D3E">
        <w:t xml:space="preserve">, for a </w:t>
      </w:r>
      <w:r w:rsidR="000B00C9">
        <w:t>maxi</w:t>
      </w:r>
      <w:r w:rsidR="00DC5D3E">
        <w:t>mum term of 3 years</w:t>
      </w:r>
      <w:r w:rsidR="003F5C2F">
        <w:t>:</w:t>
      </w:r>
    </w:p>
    <w:p w14:paraId="5D43C50B" w14:textId="3DF6A236" w:rsidR="003F5C2F" w:rsidRDefault="00EE1962" w:rsidP="006672EA">
      <w:pPr>
        <w:pStyle w:val="ListParagraph"/>
        <w:numPr>
          <w:ilvl w:val="2"/>
          <w:numId w:val="1"/>
        </w:numPr>
        <w:spacing w:before="120" w:after="120"/>
        <w:ind w:left="1843" w:hanging="709"/>
        <w:contextualSpacing w:val="0"/>
      </w:pPr>
      <w:r>
        <w:t>allow a</w:t>
      </w:r>
      <w:r w:rsidR="003F5C2F">
        <w:t xml:space="preserve"> </w:t>
      </w:r>
      <w:r w:rsidR="00EC2681">
        <w:t>D</w:t>
      </w:r>
      <w:r w:rsidR="003F5C2F">
        <w:t xml:space="preserve">welling house </w:t>
      </w:r>
      <w:r>
        <w:t>to be</w:t>
      </w:r>
      <w:r w:rsidR="003F5C2F">
        <w:t xml:space="preserve"> </w:t>
      </w:r>
      <w:r>
        <w:t>occupied</w:t>
      </w:r>
      <w:r w:rsidR="003F5C2F">
        <w:t xml:space="preserve"> by </w:t>
      </w:r>
      <w:r>
        <w:t xml:space="preserve">two households rather than </w:t>
      </w:r>
      <w:r w:rsidR="003F5C2F">
        <w:t>a single household;</w:t>
      </w:r>
    </w:p>
    <w:p w14:paraId="660883A8" w14:textId="097F9DC1" w:rsidR="003F5C2F" w:rsidRDefault="003F5C2F" w:rsidP="000C521A">
      <w:pPr>
        <w:pStyle w:val="ListParagraph"/>
        <w:numPr>
          <w:ilvl w:val="2"/>
          <w:numId w:val="1"/>
        </w:numPr>
        <w:spacing w:before="120" w:after="120"/>
        <w:ind w:left="1843" w:hanging="709"/>
        <w:contextualSpacing w:val="0"/>
      </w:pPr>
      <w:r>
        <w:t xml:space="preserve">relax restrictions limiting a secondary dwelling for use “in conjunction with and subordinate to a dwelling house on the </w:t>
      </w:r>
      <w:r w:rsidR="00356119">
        <w:t>s</w:t>
      </w:r>
      <w:r w:rsidR="008B5928">
        <w:t>ame</w:t>
      </w:r>
      <w:r>
        <w:t xml:space="preserve"> lot”;</w:t>
      </w:r>
    </w:p>
    <w:p w14:paraId="4E1303E7" w14:textId="7D37B3F4" w:rsidR="00DC5D3E" w:rsidRDefault="006672EA" w:rsidP="000C521A">
      <w:pPr>
        <w:pStyle w:val="ListParagraph"/>
        <w:numPr>
          <w:ilvl w:val="2"/>
          <w:numId w:val="1"/>
        </w:numPr>
        <w:spacing w:before="120" w:after="120"/>
        <w:ind w:left="1843" w:hanging="709"/>
        <w:contextualSpacing w:val="0"/>
      </w:pPr>
      <w:r>
        <w:lastRenderedPageBreak/>
        <w:t xml:space="preserve">allow </w:t>
      </w:r>
      <w:r w:rsidR="00DC5D3E">
        <w:t>backpackers, hostel, school camp, farm</w:t>
      </w:r>
      <w:r w:rsidR="00DA535C">
        <w:t>-</w:t>
      </w:r>
      <w:r w:rsidR="00DC5D3E">
        <w:t xml:space="preserve">stay accommodation and the like </w:t>
      </w:r>
      <w:r w:rsidR="007647B8">
        <w:t>to temporary residents and allowing those premises to be occupied on a permanent basis</w:t>
      </w:r>
      <w:r>
        <w:t>;</w:t>
      </w:r>
    </w:p>
    <w:p w14:paraId="0C452BE9" w14:textId="10A3A884" w:rsidR="006672EA" w:rsidRDefault="006672EA" w:rsidP="000C521A">
      <w:pPr>
        <w:pStyle w:val="ListParagraph"/>
        <w:numPr>
          <w:ilvl w:val="2"/>
          <w:numId w:val="1"/>
        </w:numPr>
        <w:spacing w:before="120" w:after="120"/>
        <w:ind w:left="1843" w:hanging="709"/>
        <w:contextualSpacing w:val="0"/>
      </w:pPr>
      <w:r>
        <w:t>allow accommodation to be provided in conjunction with other uses;</w:t>
      </w:r>
    </w:p>
    <w:p w14:paraId="718491AA" w14:textId="4771A5D8" w:rsidR="006672EA" w:rsidRDefault="006672EA" w:rsidP="000C521A">
      <w:pPr>
        <w:pStyle w:val="ListParagraph"/>
        <w:numPr>
          <w:ilvl w:val="2"/>
          <w:numId w:val="1"/>
        </w:numPr>
        <w:spacing w:before="120" w:after="120"/>
        <w:ind w:left="1843" w:hanging="709"/>
        <w:contextualSpacing w:val="0"/>
      </w:pPr>
      <w:r>
        <w:t>allow temporary buildings on land in the Community facilities zone;</w:t>
      </w:r>
    </w:p>
    <w:p w14:paraId="6DF42D5A" w14:textId="3FC4F3B3" w:rsidR="006672EA" w:rsidRDefault="006672EA" w:rsidP="000C521A">
      <w:pPr>
        <w:pStyle w:val="ListParagraph"/>
        <w:numPr>
          <w:ilvl w:val="2"/>
          <w:numId w:val="1"/>
        </w:numPr>
        <w:spacing w:before="120" w:after="120"/>
        <w:ind w:left="1843" w:hanging="709"/>
        <w:contextualSpacing w:val="0"/>
      </w:pPr>
      <w:r>
        <w:t xml:space="preserve">allow short term accommodation to be used for permanent </w:t>
      </w:r>
      <w:r w:rsidR="006368DC">
        <w:t>accommodation</w:t>
      </w:r>
      <w:r>
        <w:t>;</w:t>
      </w:r>
    </w:p>
    <w:p w14:paraId="4BEAC09B" w14:textId="34E6ADBB" w:rsidR="008B5928" w:rsidRDefault="008B5928" w:rsidP="000C521A">
      <w:pPr>
        <w:pStyle w:val="ListParagraph"/>
        <w:numPr>
          <w:ilvl w:val="2"/>
          <w:numId w:val="1"/>
        </w:numPr>
        <w:spacing w:before="120" w:after="120"/>
        <w:ind w:left="1843" w:hanging="709"/>
        <w:contextualSpacing w:val="0"/>
      </w:pPr>
      <w:r>
        <w:t>provide for the non-abandonment of existing lawful use rights w</w:t>
      </w:r>
      <w:r w:rsidR="00EB2973">
        <w:t>h</w:t>
      </w:r>
      <w:r>
        <w:t xml:space="preserve">ere short-term accommodation premises </w:t>
      </w:r>
      <w:r w:rsidR="00EB2973">
        <w:t>a</w:t>
      </w:r>
      <w:r>
        <w:t>re let on a permanent basis</w:t>
      </w:r>
      <w:r w:rsidR="006672EA">
        <w:t>; and</w:t>
      </w:r>
    </w:p>
    <w:p w14:paraId="171CFDAC" w14:textId="56B5D7BB" w:rsidR="00C9577F" w:rsidRDefault="00214365" w:rsidP="000C521A">
      <w:pPr>
        <w:pStyle w:val="ListParagraph"/>
        <w:numPr>
          <w:ilvl w:val="2"/>
          <w:numId w:val="1"/>
        </w:numPr>
        <w:spacing w:before="120" w:after="120"/>
        <w:ind w:left="1843" w:hanging="709"/>
      </w:pPr>
      <w:r>
        <w:t>This TLPI seeks to achieve the purpose by adoption of the Available and Affordable Living Code set out below.</w:t>
      </w:r>
    </w:p>
    <w:p w14:paraId="14E0FAD0" w14:textId="77777777" w:rsidR="00214365" w:rsidRPr="00214365" w:rsidRDefault="00214365" w:rsidP="000C521A">
      <w:pPr>
        <w:pStyle w:val="ListParagraph"/>
        <w:spacing w:before="120" w:after="120"/>
        <w:ind w:left="792"/>
        <w:rPr>
          <w:sz w:val="36"/>
          <w:szCs w:val="36"/>
        </w:rPr>
      </w:pPr>
    </w:p>
    <w:p w14:paraId="19220743" w14:textId="11F23B7E" w:rsidR="00214365" w:rsidRPr="00214365" w:rsidRDefault="00214365" w:rsidP="000C521A">
      <w:pPr>
        <w:pStyle w:val="ListParagraph"/>
        <w:spacing w:before="120" w:after="120"/>
        <w:ind w:left="792"/>
        <w:jc w:val="center"/>
        <w:rPr>
          <w:sz w:val="36"/>
          <w:szCs w:val="36"/>
        </w:rPr>
      </w:pPr>
      <w:r w:rsidRPr="00214365">
        <w:rPr>
          <w:sz w:val="36"/>
          <w:szCs w:val="36"/>
        </w:rPr>
        <w:t>Available and Affordable Living Code</w:t>
      </w:r>
    </w:p>
    <w:p w14:paraId="19A5C07E" w14:textId="0A1F9B74" w:rsidR="00725B3E" w:rsidRDefault="00725B3E" w:rsidP="000C521A">
      <w:pPr>
        <w:pStyle w:val="ListParagraph"/>
        <w:spacing w:before="120" w:after="120"/>
        <w:ind w:left="360"/>
        <w:rPr>
          <w:b/>
          <w:bCs/>
        </w:rPr>
      </w:pPr>
    </w:p>
    <w:p w14:paraId="43BDA5B3" w14:textId="77777777" w:rsidR="00725B3E" w:rsidRPr="009E36D2" w:rsidRDefault="00725B3E" w:rsidP="000C521A">
      <w:pPr>
        <w:pStyle w:val="ListParagraph"/>
        <w:numPr>
          <w:ilvl w:val="0"/>
          <w:numId w:val="2"/>
        </w:numPr>
        <w:spacing w:before="120" w:after="120"/>
        <w:ind w:left="357" w:hanging="357"/>
        <w:contextualSpacing w:val="0"/>
        <w:rPr>
          <w:b/>
          <w:bCs/>
        </w:rPr>
      </w:pPr>
      <w:r w:rsidRPr="009E36D2">
        <w:rPr>
          <w:b/>
          <w:bCs/>
        </w:rPr>
        <w:t>Purpose and Overall Outcomes</w:t>
      </w:r>
    </w:p>
    <w:p w14:paraId="5D8AA429" w14:textId="77777777" w:rsidR="00725B3E" w:rsidRDefault="00725B3E" w:rsidP="000C521A">
      <w:pPr>
        <w:pStyle w:val="ListParagraph"/>
        <w:numPr>
          <w:ilvl w:val="1"/>
          <w:numId w:val="2"/>
        </w:numPr>
        <w:spacing w:before="120" w:after="120"/>
        <w:ind w:left="1134" w:hanging="567"/>
        <w:contextualSpacing w:val="0"/>
      </w:pPr>
      <w:r>
        <w:t xml:space="preserve">The purpose of the </w:t>
      </w:r>
      <w:bookmarkStart w:id="0" w:name="_Hlk83824960"/>
      <w:r>
        <w:t xml:space="preserve">Available and Affordable Living Code </w:t>
      </w:r>
      <w:bookmarkEnd w:id="0"/>
      <w:r>
        <w:t>is to urgently make available affordable opportunities for permanent residential accommodation for up to 3 years by changing categories of assessment and amending requirements for particular uses.</w:t>
      </w:r>
    </w:p>
    <w:p w14:paraId="6BF424FE" w14:textId="77777777" w:rsidR="00725B3E" w:rsidRDefault="00725B3E" w:rsidP="000C521A">
      <w:pPr>
        <w:pStyle w:val="ListParagraph"/>
        <w:numPr>
          <w:ilvl w:val="1"/>
          <w:numId w:val="2"/>
        </w:numPr>
        <w:spacing w:before="120" w:after="120"/>
        <w:ind w:left="1134" w:hanging="567"/>
        <w:contextualSpacing w:val="0"/>
      </w:pPr>
      <w:r>
        <w:t xml:space="preserve">The overall outcomes sought for the </w:t>
      </w:r>
      <w:r w:rsidRPr="009F11AE">
        <w:t xml:space="preserve">Available and </w:t>
      </w:r>
      <w:r>
        <w:t>A</w:t>
      </w:r>
      <w:r w:rsidRPr="009F11AE">
        <w:t xml:space="preserve">ffordable </w:t>
      </w:r>
      <w:r>
        <w:t>L</w:t>
      </w:r>
      <w:r w:rsidRPr="009F11AE">
        <w:t xml:space="preserve">iving </w:t>
      </w:r>
      <w:r>
        <w:t>C</w:t>
      </w:r>
      <w:r w:rsidRPr="009F11AE">
        <w:t>ode</w:t>
      </w:r>
      <w:r>
        <w:t xml:space="preserve"> are to urgently make available</w:t>
      </w:r>
      <w:r w:rsidRPr="005C1CAA">
        <w:t xml:space="preserve"> affordable permanent residential accommodation</w:t>
      </w:r>
      <w:r>
        <w:t>:</w:t>
      </w:r>
    </w:p>
    <w:p w14:paraId="103C11F9" w14:textId="0AF0AD40" w:rsidR="00725B3E" w:rsidRDefault="00725B3E" w:rsidP="000C521A">
      <w:pPr>
        <w:pStyle w:val="ListParagraph"/>
        <w:numPr>
          <w:ilvl w:val="0"/>
          <w:numId w:val="3"/>
        </w:numPr>
        <w:spacing w:before="120" w:after="120"/>
        <w:ind w:left="1701" w:hanging="567"/>
        <w:contextualSpacing w:val="0"/>
      </w:pPr>
      <w:bookmarkStart w:id="1" w:name="_Hlk83825965"/>
      <w:r>
        <w:t xml:space="preserve">to </w:t>
      </w:r>
      <w:r w:rsidR="00914328">
        <w:t>increase</w:t>
      </w:r>
      <w:r>
        <w:t xml:space="preserve"> vacancy rates for residential accommodation to 3% across the Local Government Area within </w:t>
      </w:r>
      <w:bookmarkEnd w:id="1"/>
      <w:r>
        <w:t>12 months of the date of adoption of this Code;</w:t>
      </w:r>
    </w:p>
    <w:p w14:paraId="6B8A2DEF" w14:textId="77777777" w:rsidR="00725B3E" w:rsidRDefault="00725B3E" w:rsidP="000C521A">
      <w:pPr>
        <w:pStyle w:val="ListParagraph"/>
        <w:numPr>
          <w:ilvl w:val="0"/>
          <w:numId w:val="3"/>
        </w:numPr>
        <w:spacing w:before="120" w:after="120"/>
        <w:ind w:left="1701" w:hanging="567"/>
        <w:contextualSpacing w:val="0"/>
      </w:pPr>
      <w:r>
        <w:t>to provide safe and healthy temporary accommodation for up to 3 years;</w:t>
      </w:r>
    </w:p>
    <w:p w14:paraId="2F1117AC" w14:textId="77777777" w:rsidR="00725B3E" w:rsidRDefault="00725B3E" w:rsidP="000C521A">
      <w:pPr>
        <w:pStyle w:val="ListParagraph"/>
        <w:numPr>
          <w:ilvl w:val="0"/>
          <w:numId w:val="3"/>
        </w:numPr>
        <w:spacing w:before="120" w:after="120"/>
        <w:ind w:left="1701" w:hanging="567"/>
        <w:contextualSpacing w:val="0"/>
      </w:pPr>
      <w:r>
        <w:t>to allow a return on investment of providing available and affordable accommodation by:</w:t>
      </w:r>
    </w:p>
    <w:p w14:paraId="3DC5E00D" w14:textId="68990530" w:rsidR="00725B3E" w:rsidRDefault="00725B3E" w:rsidP="000C521A">
      <w:pPr>
        <w:pStyle w:val="ListParagraph"/>
        <w:numPr>
          <w:ilvl w:val="1"/>
          <w:numId w:val="3"/>
        </w:numPr>
        <w:spacing w:before="120" w:after="120"/>
        <w:ind w:left="2268" w:hanging="567"/>
        <w:contextualSpacing w:val="0"/>
      </w:pPr>
      <w:r>
        <w:t>allowing a 3 year term for the accommodation from the commencement of the use; and</w:t>
      </w:r>
    </w:p>
    <w:p w14:paraId="6B311FE6" w14:textId="77777777" w:rsidR="00725B3E" w:rsidRDefault="00725B3E" w:rsidP="000C521A">
      <w:pPr>
        <w:pStyle w:val="ListParagraph"/>
        <w:numPr>
          <w:ilvl w:val="1"/>
          <w:numId w:val="3"/>
        </w:numPr>
        <w:spacing w:before="120" w:after="120"/>
        <w:ind w:left="2268" w:hanging="567"/>
        <w:contextualSpacing w:val="0"/>
      </w:pPr>
      <w:r>
        <w:t>not charging infrastructure charges for the increased temporary use; and</w:t>
      </w:r>
    </w:p>
    <w:p w14:paraId="56A197D7" w14:textId="35C52AAE" w:rsidR="00725B3E" w:rsidRDefault="00725B3E" w:rsidP="000C521A">
      <w:pPr>
        <w:pStyle w:val="ListParagraph"/>
        <w:numPr>
          <w:ilvl w:val="1"/>
          <w:numId w:val="3"/>
        </w:numPr>
        <w:spacing w:before="120" w:after="120"/>
        <w:ind w:left="2268" w:hanging="567"/>
        <w:contextualSpacing w:val="0"/>
      </w:pPr>
      <w:r w:rsidRPr="007E5386">
        <w:t>requiring cessation of the use being made under this code after 3 years unless all necessary development permits have been obtained</w:t>
      </w:r>
      <w:r>
        <w:t>.</w:t>
      </w:r>
    </w:p>
    <w:p w14:paraId="0234A83C" w14:textId="06D67120" w:rsidR="009E36D2" w:rsidRPr="009E36D2" w:rsidRDefault="009E36D2" w:rsidP="000C521A">
      <w:pPr>
        <w:pStyle w:val="ListParagraph"/>
        <w:numPr>
          <w:ilvl w:val="0"/>
          <w:numId w:val="2"/>
        </w:numPr>
        <w:spacing w:before="120" w:after="120"/>
        <w:ind w:left="357" w:hanging="357"/>
        <w:contextualSpacing w:val="0"/>
        <w:rPr>
          <w:b/>
          <w:bCs/>
        </w:rPr>
      </w:pPr>
      <w:r w:rsidRPr="009E36D2">
        <w:rPr>
          <w:b/>
          <w:bCs/>
        </w:rPr>
        <w:t>Application</w:t>
      </w:r>
    </w:p>
    <w:p w14:paraId="70BC52DB" w14:textId="4BBB3B7F" w:rsidR="00795C08" w:rsidRDefault="009E36D2" w:rsidP="000C521A">
      <w:pPr>
        <w:pStyle w:val="ListParagraph"/>
        <w:numPr>
          <w:ilvl w:val="1"/>
          <w:numId w:val="6"/>
        </w:numPr>
        <w:spacing w:before="120" w:after="120"/>
        <w:ind w:left="1134" w:hanging="567"/>
        <w:contextualSpacing w:val="0"/>
      </w:pPr>
      <w:r>
        <w:t xml:space="preserve">This code applies to </w:t>
      </w:r>
      <w:r w:rsidR="00214365">
        <w:t>land</w:t>
      </w:r>
      <w:r w:rsidR="00795C08">
        <w:t>:</w:t>
      </w:r>
    </w:p>
    <w:p w14:paraId="441313FA" w14:textId="7980E101" w:rsidR="00795C08" w:rsidRDefault="00214365" w:rsidP="000C521A">
      <w:pPr>
        <w:pStyle w:val="ListParagraph"/>
        <w:numPr>
          <w:ilvl w:val="2"/>
          <w:numId w:val="2"/>
        </w:numPr>
        <w:spacing w:before="120" w:after="120"/>
        <w:ind w:left="1701" w:hanging="567"/>
        <w:contextualSpacing w:val="0"/>
      </w:pPr>
      <w:r>
        <w:t>in the (insert name of zones)</w:t>
      </w:r>
      <w:r w:rsidR="00795C08">
        <w:t>;</w:t>
      </w:r>
    </w:p>
    <w:p w14:paraId="120CD552" w14:textId="6044D22E" w:rsidR="009E36D2" w:rsidRDefault="00214365" w:rsidP="000C521A">
      <w:pPr>
        <w:pStyle w:val="ListParagraph"/>
        <w:numPr>
          <w:ilvl w:val="2"/>
          <w:numId w:val="2"/>
        </w:numPr>
        <w:spacing w:before="120" w:after="120"/>
        <w:ind w:left="1701" w:hanging="567"/>
        <w:contextualSpacing w:val="0"/>
      </w:pPr>
      <w:r>
        <w:t xml:space="preserve">outside of areas </w:t>
      </w:r>
      <w:r w:rsidR="00EC2681">
        <w:t>a</w:t>
      </w:r>
      <w:r>
        <w:t xml:space="preserve">ffected by </w:t>
      </w:r>
      <w:r w:rsidR="00141994">
        <w:t>the following</w:t>
      </w:r>
      <w:r>
        <w:t xml:space="preserve"> planning scheme overlay</w:t>
      </w:r>
      <w:r w:rsidR="00141994">
        <w:t>s (insert names of overlays)</w:t>
      </w:r>
      <w:r w:rsidR="00795C08">
        <w:t>; and</w:t>
      </w:r>
    </w:p>
    <w:p w14:paraId="3BF792C4" w14:textId="6B2FE6DD" w:rsidR="00795C08" w:rsidRDefault="00795C08" w:rsidP="000C521A">
      <w:pPr>
        <w:pStyle w:val="ListParagraph"/>
        <w:numPr>
          <w:ilvl w:val="2"/>
          <w:numId w:val="2"/>
        </w:numPr>
        <w:spacing w:before="120" w:after="120"/>
        <w:ind w:left="1701" w:hanging="567"/>
        <w:contextualSpacing w:val="0"/>
      </w:pPr>
      <w:r>
        <w:t>that is within an area of the Local government infrastructure plan.</w:t>
      </w:r>
    </w:p>
    <w:p w14:paraId="602B0B8C" w14:textId="656C210F" w:rsidR="00E947B8" w:rsidRDefault="009121FF" w:rsidP="000C521A">
      <w:pPr>
        <w:pStyle w:val="ListParagraph"/>
        <w:numPr>
          <w:ilvl w:val="1"/>
          <w:numId w:val="2"/>
        </w:numPr>
        <w:spacing w:before="120" w:after="120"/>
        <w:ind w:left="1134" w:hanging="567"/>
        <w:contextualSpacing w:val="0"/>
      </w:pPr>
      <w:r>
        <w:t xml:space="preserve">This code applies </w:t>
      </w:r>
      <w:r w:rsidR="00E947B8">
        <w:t>if</w:t>
      </w:r>
      <w:r w:rsidR="00F35591">
        <w:t>:</w:t>
      </w:r>
    </w:p>
    <w:p w14:paraId="456CB249" w14:textId="72A69AAC" w:rsidR="009121FF" w:rsidRDefault="009121FF" w:rsidP="000C521A">
      <w:pPr>
        <w:pStyle w:val="ListParagraph"/>
        <w:numPr>
          <w:ilvl w:val="2"/>
          <w:numId w:val="2"/>
        </w:numPr>
        <w:spacing w:before="120" w:after="120"/>
        <w:ind w:left="1701" w:hanging="567"/>
        <w:contextualSpacing w:val="0"/>
      </w:pPr>
      <w:r w:rsidRPr="003A34F0">
        <w:t>an owner of premises provides a notification to the Council in the approved form</w:t>
      </w:r>
      <w:r>
        <w:t xml:space="preserve"> indicating an intention to provide Available and affordable accommodation</w:t>
      </w:r>
      <w:r w:rsidR="00E947B8">
        <w:t>;</w:t>
      </w:r>
    </w:p>
    <w:p w14:paraId="4A1BE89B" w14:textId="4F74BDB9" w:rsidR="001C19DA" w:rsidRDefault="001C19DA" w:rsidP="000C521A">
      <w:pPr>
        <w:pStyle w:val="ListParagraph"/>
        <w:numPr>
          <w:ilvl w:val="2"/>
          <w:numId w:val="2"/>
        </w:numPr>
        <w:spacing w:before="120" w:after="120"/>
        <w:ind w:left="1701" w:hanging="567"/>
        <w:contextualSpacing w:val="0"/>
      </w:pPr>
      <w:r>
        <w:t>the notification is accompanied by a certificate of classification for a temporary accommodation building under MP 3.3 of the Queensland Development Code</w:t>
      </w:r>
      <w:r w:rsidR="006A5719">
        <w:t xml:space="preserve"> as if it were a new building</w:t>
      </w:r>
      <w:r>
        <w:t>;</w:t>
      </w:r>
    </w:p>
    <w:p w14:paraId="2CACFA2F" w14:textId="17CAD47A" w:rsidR="00D040C0" w:rsidRDefault="00D040C0" w:rsidP="000C521A">
      <w:pPr>
        <w:pStyle w:val="ListParagraph"/>
        <w:numPr>
          <w:ilvl w:val="2"/>
          <w:numId w:val="2"/>
        </w:numPr>
        <w:spacing w:before="120" w:after="120"/>
        <w:ind w:left="1701" w:hanging="567"/>
        <w:contextualSpacing w:val="0"/>
      </w:pPr>
      <w:r>
        <w:t xml:space="preserve">the owner provides a copy of each residential tenancy lease under the </w:t>
      </w:r>
      <w:r w:rsidRPr="00EC2681">
        <w:rPr>
          <w:i/>
          <w:iCs/>
        </w:rPr>
        <w:t xml:space="preserve">Residential Tenancies </w:t>
      </w:r>
      <w:r w:rsidR="00BA7407" w:rsidRPr="00EC2681">
        <w:rPr>
          <w:i/>
          <w:iCs/>
        </w:rPr>
        <w:t xml:space="preserve">and Rooming Accommodation </w:t>
      </w:r>
      <w:r w:rsidRPr="00EC2681">
        <w:rPr>
          <w:i/>
          <w:iCs/>
        </w:rPr>
        <w:t>Act</w:t>
      </w:r>
      <w:r w:rsidR="00BA7407" w:rsidRPr="00EC2681">
        <w:rPr>
          <w:i/>
          <w:iCs/>
        </w:rPr>
        <w:t xml:space="preserve"> 2008</w:t>
      </w:r>
      <w:r w:rsidR="005871A4">
        <w:rPr>
          <w:i/>
          <w:iCs/>
        </w:rPr>
        <w:t>,</w:t>
      </w:r>
      <w:r w:rsidR="00BA7407">
        <w:t xml:space="preserve"> </w:t>
      </w:r>
      <w:r w:rsidR="005871A4">
        <w:t xml:space="preserve">including a lease under section 18 of that Act, </w:t>
      </w:r>
      <w:r w:rsidR="00BA7407">
        <w:t>to the Council;</w:t>
      </w:r>
      <w:r w:rsidR="00124D33">
        <w:t xml:space="preserve"> and</w:t>
      </w:r>
    </w:p>
    <w:p w14:paraId="0B799073" w14:textId="3C0902BF" w:rsidR="00124D33" w:rsidRDefault="00124D33" w:rsidP="000C521A">
      <w:pPr>
        <w:pStyle w:val="ListParagraph"/>
        <w:numPr>
          <w:ilvl w:val="2"/>
          <w:numId w:val="2"/>
        </w:numPr>
        <w:spacing w:before="120" w:after="120"/>
        <w:ind w:left="1701" w:hanging="567"/>
        <w:contextualSpacing w:val="0"/>
      </w:pPr>
      <w:r>
        <w:t>the date of commencement of the first tenancy is within 12 months of the date of the adoption of this TLPI.</w:t>
      </w:r>
    </w:p>
    <w:p w14:paraId="2A5E425A" w14:textId="0A474040" w:rsidR="00A01671" w:rsidRPr="00A01671" w:rsidRDefault="00A01671" w:rsidP="000C521A">
      <w:pPr>
        <w:pStyle w:val="ListParagraph"/>
        <w:numPr>
          <w:ilvl w:val="0"/>
          <w:numId w:val="2"/>
        </w:numPr>
        <w:spacing w:before="120" w:after="120"/>
        <w:ind w:left="357" w:hanging="357"/>
        <w:contextualSpacing w:val="0"/>
        <w:rPr>
          <w:b/>
          <w:bCs/>
        </w:rPr>
      </w:pPr>
      <w:r w:rsidRPr="00A01671">
        <w:rPr>
          <w:b/>
          <w:bCs/>
        </w:rPr>
        <w:t>Accepted Development</w:t>
      </w:r>
    </w:p>
    <w:p w14:paraId="218322BD" w14:textId="250DB633" w:rsidR="0045385A" w:rsidRDefault="00164951" w:rsidP="000C521A">
      <w:pPr>
        <w:pStyle w:val="ListParagraph"/>
        <w:numPr>
          <w:ilvl w:val="1"/>
          <w:numId w:val="2"/>
        </w:numPr>
        <w:spacing w:before="120" w:after="120"/>
        <w:ind w:left="1134" w:hanging="567"/>
        <w:contextualSpacing w:val="0"/>
      </w:pPr>
      <w:r>
        <w:t xml:space="preserve">A </w:t>
      </w:r>
      <w:r w:rsidRPr="0081324E">
        <w:rPr>
          <w:b/>
          <w:bCs/>
        </w:rPr>
        <w:t>Dwelling house</w:t>
      </w:r>
      <w:r>
        <w:t xml:space="preserve"> used for up to 2 households </w:t>
      </w:r>
      <w:r w:rsidR="0045385A">
        <w:t>if:</w:t>
      </w:r>
    </w:p>
    <w:p w14:paraId="1937B309" w14:textId="10F8FEE1" w:rsidR="0045385A" w:rsidRDefault="00164951" w:rsidP="000C521A">
      <w:pPr>
        <w:pStyle w:val="ListParagraph"/>
        <w:numPr>
          <w:ilvl w:val="2"/>
          <w:numId w:val="2"/>
        </w:numPr>
        <w:spacing w:before="120" w:after="120"/>
        <w:ind w:left="1701" w:hanging="567"/>
        <w:contextualSpacing w:val="0"/>
      </w:pPr>
      <w:r>
        <w:t xml:space="preserve"> no or only minor building works are </w:t>
      </w:r>
      <w:r w:rsidR="0045385A">
        <w:t>made to the premises; and</w:t>
      </w:r>
    </w:p>
    <w:p w14:paraId="6301139C" w14:textId="21608D30" w:rsidR="0045385A" w:rsidRDefault="0045385A" w:rsidP="000C521A">
      <w:pPr>
        <w:pStyle w:val="ListParagraph"/>
        <w:numPr>
          <w:ilvl w:val="2"/>
          <w:numId w:val="2"/>
        </w:numPr>
        <w:spacing w:before="120" w:after="120"/>
        <w:ind w:left="1701" w:hanging="567"/>
        <w:contextualSpacing w:val="0"/>
      </w:pPr>
      <w:r>
        <w:t xml:space="preserve"> where an owner</w:t>
      </w:r>
      <w:r w:rsidR="00D629C9">
        <w:t>’</w:t>
      </w:r>
      <w:r w:rsidR="002753A9">
        <w:t>s household</w:t>
      </w:r>
      <w:r>
        <w:t xml:space="preserve"> resides on the premises</w:t>
      </w:r>
      <w:r w:rsidR="00B76867">
        <w:t>,</w:t>
      </w:r>
      <w:r>
        <w:t xml:space="preserve"> the other household has entered into a residential tenancy agreement; or </w:t>
      </w:r>
    </w:p>
    <w:p w14:paraId="1B937D38" w14:textId="6D339AA7" w:rsidR="0045385A" w:rsidRDefault="00D629C9" w:rsidP="000C521A">
      <w:pPr>
        <w:pStyle w:val="ListParagraph"/>
        <w:numPr>
          <w:ilvl w:val="2"/>
          <w:numId w:val="2"/>
        </w:numPr>
        <w:spacing w:before="120" w:after="120"/>
        <w:ind w:left="1701" w:hanging="567"/>
        <w:contextualSpacing w:val="0"/>
      </w:pPr>
      <w:r>
        <w:t>w</w:t>
      </w:r>
      <w:r w:rsidR="0045385A">
        <w:t>here the owner does not reside on the premises, each household has entered into a residential tenancy agreement</w:t>
      </w:r>
      <w:r w:rsidR="001C19DA">
        <w:t>;</w:t>
      </w:r>
    </w:p>
    <w:p w14:paraId="49E80748" w14:textId="33A81DF0" w:rsidR="00F35591" w:rsidRDefault="00164951" w:rsidP="000C521A">
      <w:pPr>
        <w:spacing w:before="120" w:after="120"/>
        <w:ind w:left="1134"/>
      </w:pPr>
      <w:r>
        <w:t>is accepted development.</w:t>
      </w:r>
    </w:p>
    <w:p w14:paraId="2AD24721" w14:textId="4AB32E30" w:rsidR="00AA5FE5" w:rsidRDefault="00877DFF" w:rsidP="000C521A">
      <w:pPr>
        <w:pStyle w:val="ListParagraph"/>
        <w:numPr>
          <w:ilvl w:val="1"/>
          <w:numId w:val="2"/>
        </w:numPr>
        <w:spacing w:before="120" w:after="120"/>
        <w:ind w:left="1134" w:hanging="567"/>
        <w:contextualSpacing w:val="0"/>
      </w:pPr>
      <w:r>
        <w:t xml:space="preserve">A </w:t>
      </w:r>
      <w:r w:rsidR="0081324E">
        <w:rPr>
          <w:b/>
          <w:bCs/>
        </w:rPr>
        <w:t>S</w:t>
      </w:r>
      <w:r w:rsidRPr="0081324E">
        <w:rPr>
          <w:b/>
          <w:bCs/>
        </w:rPr>
        <w:t>econdary dwelling</w:t>
      </w:r>
      <w:r>
        <w:t xml:space="preserve"> </w:t>
      </w:r>
      <w:bookmarkStart w:id="2" w:name="_Hlk85605329"/>
      <w:r w:rsidR="00C15F98">
        <w:t>used for a household</w:t>
      </w:r>
      <w:bookmarkEnd w:id="2"/>
      <w:r w:rsidR="00C15F98">
        <w:t xml:space="preserve">, but </w:t>
      </w:r>
      <w:r>
        <w:t>not used “in conjunction with</w:t>
      </w:r>
      <w:r w:rsidR="00E97A79">
        <w:t xml:space="preserve"> </w:t>
      </w:r>
      <w:r>
        <w:t>and subordinate to a Dwelling house on the same lot”</w:t>
      </w:r>
      <w:r w:rsidR="00C15F98">
        <w:t>,</w:t>
      </w:r>
      <w:r w:rsidRPr="00164951">
        <w:t xml:space="preserve"> </w:t>
      </w:r>
      <w:bookmarkStart w:id="3" w:name="_Hlk85602454"/>
      <w:r>
        <w:t>is accepted development</w:t>
      </w:r>
      <w:bookmarkEnd w:id="3"/>
      <w:r>
        <w:t>.</w:t>
      </w:r>
    </w:p>
    <w:p w14:paraId="10D8B799" w14:textId="2DA7EF89" w:rsidR="00877DFF" w:rsidRDefault="0081324E" w:rsidP="000C521A">
      <w:pPr>
        <w:pStyle w:val="ListParagraph"/>
        <w:numPr>
          <w:ilvl w:val="1"/>
          <w:numId w:val="2"/>
        </w:numPr>
        <w:spacing w:before="120" w:after="120"/>
        <w:ind w:left="1134" w:hanging="567"/>
        <w:contextualSpacing w:val="0"/>
      </w:pPr>
      <w:r>
        <w:t xml:space="preserve">A room in a </w:t>
      </w:r>
      <w:r w:rsidRPr="005477A3">
        <w:rPr>
          <w:b/>
          <w:bCs/>
        </w:rPr>
        <w:t>Budget accommodation building</w:t>
      </w:r>
      <w:r>
        <w:t xml:space="preserve"> as defined under the </w:t>
      </w:r>
      <w:r w:rsidRPr="0081324E">
        <w:rPr>
          <w:i/>
          <w:iCs/>
        </w:rPr>
        <w:t>Building Act</w:t>
      </w:r>
      <w:r w:rsidR="00C15F98">
        <w:rPr>
          <w:i/>
          <w:iCs/>
        </w:rPr>
        <w:t xml:space="preserve"> 1975, </w:t>
      </w:r>
      <w:r w:rsidR="00C15F98" w:rsidRPr="00C15F98">
        <w:t>used for a household</w:t>
      </w:r>
      <w:r w:rsidR="00C15F98">
        <w:t>,</w:t>
      </w:r>
      <w:r w:rsidRPr="0081324E">
        <w:rPr>
          <w:i/>
          <w:iCs/>
        </w:rPr>
        <w:t xml:space="preserve"> </w:t>
      </w:r>
      <w:r w:rsidR="005871A4">
        <w:t>is accepted development.</w:t>
      </w:r>
    </w:p>
    <w:p w14:paraId="06C36DF1" w14:textId="5839D06C" w:rsidR="005871A4" w:rsidRDefault="00407EC2" w:rsidP="000C521A">
      <w:pPr>
        <w:pStyle w:val="ListParagraph"/>
        <w:numPr>
          <w:ilvl w:val="1"/>
          <w:numId w:val="2"/>
        </w:numPr>
        <w:spacing w:before="120" w:after="120"/>
        <w:ind w:left="1134" w:hanging="567"/>
        <w:contextualSpacing w:val="0"/>
      </w:pPr>
      <w:r>
        <w:t xml:space="preserve">In association with </w:t>
      </w:r>
      <w:r w:rsidRPr="00A61CF6">
        <w:rPr>
          <w:b/>
          <w:bCs/>
        </w:rPr>
        <w:t>any other use</w:t>
      </w:r>
      <w:r>
        <w:t>, providing accommodation for an employee</w:t>
      </w:r>
      <w:r w:rsidR="00C15F98">
        <w:t>’s household</w:t>
      </w:r>
      <w:r>
        <w:t>, on the premises at which the use is undertaken</w:t>
      </w:r>
      <w:r w:rsidR="00C15F98">
        <w:t>,</w:t>
      </w:r>
      <w:r w:rsidR="00696E39">
        <w:t xml:space="preserve"> is accepted development.</w:t>
      </w:r>
    </w:p>
    <w:p w14:paraId="7E752865" w14:textId="29F7AB7A" w:rsidR="00696E39" w:rsidRDefault="007D3ADF" w:rsidP="000C521A">
      <w:pPr>
        <w:pStyle w:val="ListParagraph"/>
        <w:numPr>
          <w:ilvl w:val="1"/>
          <w:numId w:val="2"/>
        </w:numPr>
        <w:spacing w:before="120" w:after="120"/>
        <w:ind w:left="1134" w:hanging="567"/>
        <w:contextualSpacing w:val="0"/>
      </w:pPr>
      <w:r>
        <w:t xml:space="preserve">For premises in the </w:t>
      </w:r>
      <w:r w:rsidRPr="00AA40E5">
        <w:rPr>
          <w:b/>
          <w:bCs/>
        </w:rPr>
        <w:t>Community facilities zone</w:t>
      </w:r>
      <w:r>
        <w:t xml:space="preserve">, providing </w:t>
      </w:r>
      <w:r w:rsidR="00AA40E5">
        <w:t xml:space="preserve">a </w:t>
      </w:r>
      <w:r w:rsidR="008F07D7">
        <w:t xml:space="preserve">temporary </w:t>
      </w:r>
      <w:r>
        <w:t xml:space="preserve">accommodation </w:t>
      </w:r>
      <w:r w:rsidR="008F07D7">
        <w:t xml:space="preserve">building </w:t>
      </w:r>
      <w:r>
        <w:t xml:space="preserve">for a </w:t>
      </w:r>
      <w:r w:rsidR="00AA40E5">
        <w:t>household is accepted development.</w:t>
      </w:r>
    </w:p>
    <w:p w14:paraId="748FB78A" w14:textId="71B50ECD" w:rsidR="00AA40E5" w:rsidRDefault="008F07D7" w:rsidP="000C521A">
      <w:pPr>
        <w:pStyle w:val="ListParagraph"/>
        <w:numPr>
          <w:ilvl w:val="1"/>
          <w:numId w:val="2"/>
        </w:numPr>
        <w:spacing w:before="120" w:after="120"/>
        <w:ind w:left="1134" w:hanging="567"/>
        <w:contextualSpacing w:val="0"/>
      </w:pPr>
      <w:bookmarkStart w:id="4" w:name="_Hlk85648069"/>
      <w:r>
        <w:t xml:space="preserve">For premises restricted to </w:t>
      </w:r>
      <w:r w:rsidRPr="008F07D7">
        <w:rPr>
          <w:b/>
          <w:bCs/>
        </w:rPr>
        <w:t>short-term accommodation</w:t>
      </w:r>
      <w:r w:rsidR="00C15F98">
        <w:rPr>
          <w:b/>
          <w:bCs/>
        </w:rPr>
        <w:t>,</w:t>
      </w:r>
      <w:r>
        <w:t xml:space="preserve"> </w:t>
      </w:r>
      <w:r w:rsidR="00C15F98">
        <w:t xml:space="preserve">if used for a household </w:t>
      </w:r>
      <w:r>
        <w:t>is accepted development.</w:t>
      </w:r>
    </w:p>
    <w:bookmarkEnd w:id="4"/>
    <w:p w14:paraId="42ECBAAA" w14:textId="521740ED" w:rsidR="008F07D7" w:rsidRPr="005871A4" w:rsidRDefault="00C15F98" w:rsidP="000C521A">
      <w:pPr>
        <w:pStyle w:val="ListParagraph"/>
        <w:numPr>
          <w:ilvl w:val="1"/>
          <w:numId w:val="2"/>
        </w:numPr>
        <w:spacing w:before="120" w:after="120"/>
        <w:ind w:left="1134" w:hanging="567"/>
        <w:contextualSpacing w:val="0"/>
      </w:pPr>
      <w:r>
        <w:t xml:space="preserve">The </w:t>
      </w:r>
      <w:r w:rsidR="008B1856">
        <w:t xml:space="preserve">provision of residential premises subject to short-term accommodation </w:t>
      </w:r>
      <w:r w:rsidR="008B1856" w:rsidRPr="006672EA">
        <w:rPr>
          <w:b/>
          <w:bCs/>
        </w:rPr>
        <w:t>existing use rights</w:t>
      </w:r>
      <w:r w:rsidR="008B1856">
        <w:t xml:space="preserve"> will not </w:t>
      </w:r>
      <w:r w:rsidR="003C5543">
        <w:t xml:space="preserve">cause the </w:t>
      </w:r>
      <w:r w:rsidR="008B1856">
        <w:t>abandon</w:t>
      </w:r>
      <w:r w:rsidR="003C5543">
        <w:t>ment of</w:t>
      </w:r>
      <w:r w:rsidR="008B1856">
        <w:t xml:space="preserve"> those use rights by providing accommodation for a household</w:t>
      </w:r>
      <w:r w:rsidR="003C5543">
        <w:t xml:space="preserve"> on a temporary basis</w:t>
      </w:r>
      <w:r w:rsidR="008B1856">
        <w:t>.</w:t>
      </w:r>
    </w:p>
    <w:p w14:paraId="3F2224A6" w14:textId="77777777" w:rsidR="00777129" w:rsidRDefault="008B5928" w:rsidP="000C521A">
      <w:pPr>
        <w:pStyle w:val="ListParagraph"/>
        <w:numPr>
          <w:ilvl w:val="0"/>
          <w:numId w:val="2"/>
        </w:numPr>
        <w:spacing w:before="120" w:after="120"/>
        <w:ind w:left="357" w:hanging="357"/>
        <w:contextualSpacing w:val="0"/>
      </w:pPr>
      <w:r>
        <w:t>Duration of the TLPI</w:t>
      </w:r>
    </w:p>
    <w:p w14:paraId="5105A664" w14:textId="7084E800" w:rsidR="008B5928" w:rsidRDefault="00F37054" w:rsidP="00777129">
      <w:pPr>
        <w:pStyle w:val="ListParagraph"/>
        <w:ind w:left="360"/>
      </w:pPr>
      <w:r>
        <w:t xml:space="preserve">This TLPI has effect for a period of </w:t>
      </w:r>
      <w:r w:rsidR="00725B3E">
        <w:t>any Residential Tenancies established in accordance with this TLPI.</w:t>
      </w:r>
    </w:p>
    <w:p w14:paraId="2EA36291" w14:textId="77777777" w:rsidR="008B1856" w:rsidRDefault="008B1856" w:rsidP="00777129">
      <w:pPr>
        <w:pStyle w:val="ListParagraph"/>
        <w:ind w:left="360"/>
      </w:pPr>
    </w:p>
    <w:p w14:paraId="18DDF9BC" w14:textId="1D7C6D11" w:rsidR="00625E15" w:rsidRDefault="00625E15"/>
    <w:sectPr w:rsidR="00625E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3DE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B67CB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ECA6A96"/>
    <w:multiLevelType w:val="hybridMultilevel"/>
    <w:tmpl w:val="EA102D10"/>
    <w:lvl w:ilvl="0" w:tplc="79ECC0C6">
      <w:start w:val="1"/>
      <w:numFmt w:val="lowerLetter"/>
      <w:lvlText w:val="(%1)"/>
      <w:lvlJc w:val="left"/>
      <w:pPr>
        <w:ind w:left="1152" w:hanging="360"/>
      </w:pPr>
      <w:rPr>
        <w:rFonts w:hint="default"/>
      </w:rPr>
    </w:lvl>
    <w:lvl w:ilvl="1" w:tplc="0C090019" w:tentative="1">
      <w:start w:val="1"/>
      <w:numFmt w:val="lowerLetter"/>
      <w:lvlText w:val="%2."/>
      <w:lvlJc w:val="left"/>
      <w:pPr>
        <w:ind w:left="1872" w:hanging="360"/>
      </w:pPr>
    </w:lvl>
    <w:lvl w:ilvl="2" w:tplc="0C09001B" w:tentative="1">
      <w:start w:val="1"/>
      <w:numFmt w:val="lowerRoman"/>
      <w:lvlText w:val="%3."/>
      <w:lvlJc w:val="right"/>
      <w:pPr>
        <w:ind w:left="2592" w:hanging="180"/>
      </w:pPr>
    </w:lvl>
    <w:lvl w:ilvl="3" w:tplc="0C09000F" w:tentative="1">
      <w:start w:val="1"/>
      <w:numFmt w:val="decimal"/>
      <w:lvlText w:val="%4."/>
      <w:lvlJc w:val="left"/>
      <w:pPr>
        <w:ind w:left="3312" w:hanging="360"/>
      </w:pPr>
    </w:lvl>
    <w:lvl w:ilvl="4" w:tplc="0C090019" w:tentative="1">
      <w:start w:val="1"/>
      <w:numFmt w:val="lowerLetter"/>
      <w:lvlText w:val="%5."/>
      <w:lvlJc w:val="left"/>
      <w:pPr>
        <w:ind w:left="4032" w:hanging="360"/>
      </w:pPr>
    </w:lvl>
    <w:lvl w:ilvl="5" w:tplc="0C09001B" w:tentative="1">
      <w:start w:val="1"/>
      <w:numFmt w:val="lowerRoman"/>
      <w:lvlText w:val="%6."/>
      <w:lvlJc w:val="right"/>
      <w:pPr>
        <w:ind w:left="4752" w:hanging="180"/>
      </w:pPr>
    </w:lvl>
    <w:lvl w:ilvl="6" w:tplc="0C09000F" w:tentative="1">
      <w:start w:val="1"/>
      <w:numFmt w:val="decimal"/>
      <w:lvlText w:val="%7."/>
      <w:lvlJc w:val="left"/>
      <w:pPr>
        <w:ind w:left="5472" w:hanging="360"/>
      </w:pPr>
    </w:lvl>
    <w:lvl w:ilvl="7" w:tplc="0C090019" w:tentative="1">
      <w:start w:val="1"/>
      <w:numFmt w:val="lowerLetter"/>
      <w:lvlText w:val="%8."/>
      <w:lvlJc w:val="left"/>
      <w:pPr>
        <w:ind w:left="6192" w:hanging="360"/>
      </w:pPr>
    </w:lvl>
    <w:lvl w:ilvl="8" w:tplc="0C09001B" w:tentative="1">
      <w:start w:val="1"/>
      <w:numFmt w:val="lowerRoman"/>
      <w:lvlText w:val="%9."/>
      <w:lvlJc w:val="right"/>
      <w:pPr>
        <w:ind w:left="6912" w:hanging="180"/>
      </w:pPr>
    </w:lvl>
  </w:abstractNum>
  <w:abstractNum w:abstractNumId="3" w15:restartNumberingAfterBreak="0">
    <w:nsid w:val="646C5AF7"/>
    <w:multiLevelType w:val="hybridMultilevel"/>
    <w:tmpl w:val="468A9B8E"/>
    <w:lvl w:ilvl="0" w:tplc="F1D040C6">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68E56A00"/>
    <w:multiLevelType w:val="multilevel"/>
    <w:tmpl w:val="C6040F7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72EC1D4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87477031">
    <w:abstractNumId w:val="5"/>
  </w:num>
  <w:num w:numId="2" w16cid:durableId="1885871770">
    <w:abstractNumId w:val="1"/>
  </w:num>
  <w:num w:numId="3" w16cid:durableId="2138453444">
    <w:abstractNumId w:val="3"/>
  </w:num>
  <w:num w:numId="4" w16cid:durableId="505099615">
    <w:abstractNumId w:val="2"/>
  </w:num>
  <w:num w:numId="5" w16cid:durableId="733544863">
    <w:abstractNumId w:val="0"/>
  </w:num>
  <w:num w:numId="6" w16cid:durableId="1318725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901ACCD-7292-4390-AB43-4653D909FA59}"/>
    <w:docVar w:name="dgnword-eventsink" w:val="1511706899200"/>
    <w:docVar w:name="dgnword-lastRevisionsView" w:val="0"/>
  </w:docVars>
  <w:rsids>
    <w:rsidRoot w:val="00C9577F"/>
    <w:rsid w:val="00014C03"/>
    <w:rsid w:val="00017302"/>
    <w:rsid w:val="00032E81"/>
    <w:rsid w:val="00060038"/>
    <w:rsid w:val="000A7107"/>
    <w:rsid w:val="000B00C9"/>
    <w:rsid w:val="000C521A"/>
    <w:rsid w:val="001117CF"/>
    <w:rsid w:val="00124D33"/>
    <w:rsid w:val="00141994"/>
    <w:rsid w:val="00164951"/>
    <w:rsid w:val="00193D52"/>
    <w:rsid w:val="001C19DA"/>
    <w:rsid w:val="00214365"/>
    <w:rsid w:val="00236CA7"/>
    <w:rsid w:val="002753A9"/>
    <w:rsid w:val="002A0B28"/>
    <w:rsid w:val="002E7D12"/>
    <w:rsid w:val="00317833"/>
    <w:rsid w:val="00356119"/>
    <w:rsid w:val="00357C39"/>
    <w:rsid w:val="00392034"/>
    <w:rsid w:val="003A34F0"/>
    <w:rsid w:val="003C5543"/>
    <w:rsid w:val="003F1954"/>
    <w:rsid w:val="003F5C2F"/>
    <w:rsid w:val="00402060"/>
    <w:rsid w:val="00407EC2"/>
    <w:rsid w:val="00413A68"/>
    <w:rsid w:val="0045385A"/>
    <w:rsid w:val="00462745"/>
    <w:rsid w:val="005477A3"/>
    <w:rsid w:val="005871A4"/>
    <w:rsid w:val="00597C7C"/>
    <w:rsid w:val="005A412E"/>
    <w:rsid w:val="005C1CAA"/>
    <w:rsid w:val="005E0ECA"/>
    <w:rsid w:val="005E3053"/>
    <w:rsid w:val="005E348B"/>
    <w:rsid w:val="00625E15"/>
    <w:rsid w:val="006368DC"/>
    <w:rsid w:val="00643256"/>
    <w:rsid w:val="006672EA"/>
    <w:rsid w:val="00696E39"/>
    <w:rsid w:val="006A5719"/>
    <w:rsid w:val="006C40A6"/>
    <w:rsid w:val="006C766C"/>
    <w:rsid w:val="006D22E7"/>
    <w:rsid w:val="006E4C23"/>
    <w:rsid w:val="00725B3E"/>
    <w:rsid w:val="007647B8"/>
    <w:rsid w:val="00764975"/>
    <w:rsid w:val="00777129"/>
    <w:rsid w:val="00795C08"/>
    <w:rsid w:val="007B6A03"/>
    <w:rsid w:val="007D3ADF"/>
    <w:rsid w:val="007E5386"/>
    <w:rsid w:val="0081324E"/>
    <w:rsid w:val="00873E1E"/>
    <w:rsid w:val="00877DFF"/>
    <w:rsid w:val="008A2EBE"/>
    <w:rsid w:val="008B1856"/>
    <w:rsid w:val="008B5928"/>
    <w:rsid w:val="008F07D7"/>
    <w:rsid w:val="008F0F03"/>
    <w:rsid w:val="00911631"/>
    <w:rsid w:val="009121FF"/>
    <w:rsid w:val="00914328"/>
    <w:rsid w:val="00956453"/>
    <w:rsid w:val="009A3CFD"/>
    <w:rsid w:val="009E36D2"/>
    <w:rsid w:val="009F11AE"/>
    <w:rsid w:val="009F2D42"/>
    <w:rsid w:val="00A01671"/>
    <w:rsid w:val="00A326EE"/>
    <w:rsid w:val="00A61CF6"/>
    <w:rsid w:val="00AA40E5"/>
    <w:rsid w:val="00AA5FE5"/>
    <w:rsid w:val="00AD6C72"/>
    <w:rsid w:val="00B76867"/>
    <w:rsid w:val="00BA7407"/>
    <w:rsid w:val="00C15F98"/>
    <w:rsid w:val="00C36F75"/>
    <w:rsid w:val="00C9577F"/>
    <w:rsid w:val="00D040C0"/>
    <w:rsid w:val="00D10A04"/>
    <w:rsid w:val="00D11956"/>
    <w:rsid w:val="00D1248A"/>
    <w:rsid w:val="00D629C9"/>
    <w:rsid w:val="00D63DC2"/>
    <w:rsid w:val="00DA535C"/>
    <w:rsid w:val="00DC5D3E"/>
    <w:rsid w:val="00DE0540"/>
    <w:rsid w:val="00DE0812"/>
    <w:rsid w:val="00DE3A1B"/>
    <w:rsid w:val="00E947B8"/>
    <w:rsid w:val="00E97A79"/>
    <w:rsid w:val="00EB2973"/>
    <w:rsid w:val="00EC2681"/>
    <w:rsid w:val="00EC755B"/>
    <w:rsid w:val="00EE1962"/>
    <w:rsid w:val="00F35591"/>
    <w:rsid w:val="00F37054"/>
    <w:rsid w:val="00F522EA"/>
    <w:rsid w:val="00F943B8"/>
    <w:rsid w:val="00FA2201"/>
    <w:rsid w:val="00FA78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DE5D4"/>
  <w15:chartTrackingRefBased/>
  <w15:docId w15:val="{144AD507-5476-456E-B773-3B21CBEB6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577F"/>
    <w:pPr>
      <w:ind w:left="720"/>
      <w:contextualSpacing/>
    </w:pPr>
  </w:style>
  <w:style w:type="character" w:styleId="CommentReference">
    <w:name w:val="annotation reference"/>
    <w:basedOn w:val="DefaultParagraphFont"/>
    <w:uiPriority w:val="99"/>
    <w:semiHidden/>
    <w:unhideWhenUsed/>
    <w:rsid w:val="00764975"/>
    <w:rPr>
      <w:sz w:val="16"/>
      <w:szCs w:val="16"/>
    </w:rPr>
  </w:style>
  <w:style w:type="paragraph" w:styleId="CommentText">
    <w:name w:val="annotation text"/>
    <w:basedOn w:val="Normal"/>
    <w:link w:val="CommentTextChar"/>
    <w:uiPriority w:val="99"/>
    <w:semiHidden/>
    <w:unhideWhenUsed/>
    <w:rsid w:val="00764975"/>
    <w:pPr>
      <w:spacing w:line="240" w:lineRule="auto"/>
    </w:pPr>
    <w:rPr>
      <w:sz w:val="20"/>
      <w:szCs w:val="20"/>
    </w:rPr>
  </w:style>
  <w:style w:type="character" w:customStyle="1" w:styleId="CommentTextChar">
    <w:name w:val="Comment Text Char"/>
    <w:basedOn w:val="DefaultParagraphFont"/>
    <w:link w:val="CommentText"/>
    <w:uiPriority w:val="99"/>
    <w:semiHidden/>
    <w:rsid w:val="00764975"/>
    <w:rPr>
      <w:sz w:val="20"/>
      <w:szCs w:val="20"/>
    </w:rPr>
  </w:style>
  <w:style w:type="paragraph" w:styleId="CommentSubject">
    <w:name w:val="annotation subject"/>
    <w:basedOn w:val="CommentText"/>
    <w:next w:val="CommentText"/>
    <w:link w:val="CommentSubjectChar"/>
    <w:uiPriority w:val="99"/>
    <w:semiHidden/>
    <w:unhideWhenUsed/>
    <w:rsid w:val="00764975"/>
    <w:rPr>
      <w:b/>
      <w:bCs/>
    </w:rPr>
  </w:style>
  <w:style w:type="character" w:customStyle="1" w:styleId="CommentSubjectChar">
    <w:name w:val="Comment Subject Char"/>
    <w:basedOn w:val="CommentTextChar"/>
    <w:link w:val="CommentSubject"/>
    <w:uiPriority w:val="99"/>
    <w:semiHidden/>
    <w:rsid w:val="00764975"/>
    <w:rPr>
      <w:b/>
      <w:bCs/>
      <w:sz w:val="20"/>
      <w:szCs w:val="20"/>
    </w:rPr>
  </w:style>
  <w:style w:type="paragraph" w:styleId="Revision">
    <w:name w:val="Revision"/>
    <w:hidden/>
    <w:uiPriority w:val="99"/>
    <w:semiHidden/>
    <w:rsid w:val="007649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69910">
      <w:bodyDiv w:val="1"/>
      <w:marLeft w:val="0"/>
      <w:marRight w:val="0"/>
      <w:marTop w:val="0"/>
      <w:marBottom w:val="0"/>
      <w:divBdr>
        <w:top w:val="none" w:sz="0" w:space="0" w:color="auto"/>
        <w:left w:val="none" w:sz="0" w:space="0" w:color="auto"/>
        <w:bottom w:val="none" w:sz="0" w:space="0" w:color="auto"/>
        <w:right w:val="none" w:sz="0" w:space="0" w:color="auto"/>
      </w:divBdr>
      <w:divsChild>
        <w:div w:id="110738334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24958202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106802614">
                  <w:blockQuote w:val="1"/>
                  <w:marLeft w:val="600"/>
                  <w:marRight w:val="0"/>
                  <w:marTop w:val="120"/>
                  <w:marBottom w:val="120"/>
                  <w:divBdr>
                    <w:top w:val="none" w:sz="0" w:space="0" w:color="auto"/>
                    <w:left w:val="none" w:sz="0" w:space="0" w:color="auto"/>
                    <w:bottom w:val="none" w:sz="0" w:space="0" w:color="auto"/>
                    <w:right w:val="none" w:sz="0" w:space="0" w:color="auto"/>
                  </w:divBdr>
                </w:div>
                <w:div w:id="89118899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043612">
                      <w:blockQuote w:val="1"/>
                      <w:marLeft w:val="600"/>
                      <w:marRight w:val="0"/>
                      <w:marTop w:val="120"/>
                      <w:marBottom w:val="120"/>
                      <w:divBdr>
                        <w:top w:val="none" w:sz="0" w:space="0" w:color="auto"/>
                        <w:left w:val="none" w:sz="0" w:space="0" w:color="auto"/>
                        <w:bottom w:val="none" w:sz="0" w:space="0" w:color="auto"/>
                        <w:right w:val="none" w:sz="0" w:space="0" w:color="auto"/>
                      </w:divBdr>
                    </w:div>
                    <w:div w:id="370229194">
                      <w:blockQuote w:val="1"/>
                      <w:marLeft w:val="600"/>
                      <w:marRight w:val="0"/>
                      <w:marTop w:val="120"/>
                      <w:marBottom w:val="120"/>
                      <w:divBdr>
                        <w:top w:val="none" w:sz="0" w:space="0" w:color="auto"/>
                        <w:left w:val="none" w:sz="0" w:space="0" w:color="auto"/>
                        <w:bottom w:val="none" w:sz="0" w:space="0" w:color="auto"/>
                        <w:right w:val="none" w:sz="0" w:space="0" w:color="auto"/>
                      </w:divBdr>
                    </w:div>
                    <w:div w:id="113024182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122575156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28770934">
                  <w:blockQuote w:val="1"/>
                  <w:marLeft w:val="600"/>
                  <w:marRight w:val="0"/>
                  <w:marTop w:val="120"/>
                  <w:marBottom w:val="120"/>
                  <w:divBdr>
                    <w:top w:val="none" w:sz="0" w:space="0" w:color="auto"/>
                    <w:left w:val="none" w:sz="0" w:space="0" w:color="auto"/>
                    <w:bottom w:val="none" w:sz="0" w:space="0" w:color="auto"/>
                    <w:right w:val="none" w:sz="0" w:space="0" w:color="auto"/>
                  </w:divBdr>
                </w:div>
                <w:div w:id="1679960520">
                  <w:blockQuote w:val="1"/>
                  <w:marLeft w:val="600"/>
                  <w:marRight w:val="0"/>
                  <w:marTop w:val="120"/>
                  <w:marBottom w:val="120"/>
                  <w:divBdr>
                    <w:top w:val="none" w:sz="0" w:space="0" w:color="auto"/>
                    <w:left w:val="none" w:sz="0" w:space="0" w:color="auto"/>
                    <w:bottom w:val="none" w:sz="0" w:space="0" w:color="auto"/>
                    <w:right w:val="none" w:sz="0" w:space="0" w:color="auto"/>
                  </w:divBdr>
                </w:div>
                <w:div w:id="2001500810">
                  <w:blockQuote w:val="1"/>
                  <w:marLeft w:val="600"/>
                  <w:marRight w:val="0"/>
                  <w:marTop w:val="120"/>
                  <w:marBottom w:val="120"/>
                  <w:divBdr>
                    <w:top w:val="none" w:sz="0" w:space="0" w:color="auto"/>
                    <w:left w:val="none" w:sz="0" w:space="0" w:color="auto"/>
                    <w:bottom w:val="none" w:sz="0" w:space="0" w:color="auto"/>
                    <w:right w:val="none" w:sz="0" w:space="0" w:color="auto"/>
                  </w:divBdr>
                </w:div>
                <w:div w:id="103724303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88382841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85114881">
                  <w:blockQuote w:val="1"/>
                  <w:marLeft w:val="600"/>
                  <w:marRight w:val="0"/>
                  <w:marTop w:val="120"/>
                  <w:marBottom w:val="120"/>
                  <w:divBdr>
                    <w:top w:val="none" w:sz="0" w:space="0" w:color="auto"/>
                    <w:left w:val="none" w:sz="0" w:space="0" w:color="auto"/>
                    <w:bottom w:val="none" w:sz="0" w:space="0" w:color="auto"/>
                    <w:right w:val="none" w:sz="0" w:space="0" w:color="auto"/>
                  </w:divBdr>
                </w:div>
                <w:div w:id="1915973975">
                  <w:blockQuote w:val="1"/>
                  <w:marLeft w:val="600"/>
                  <w:marRight w:val="0"/>
                  <w:marTop w:val="120"/>
                  <w:marBottom w:val="120"/>
                  <w:divBdr>
                    <w:top w:val="none" w:sz="0" w:space="0" w:color="auto"/>
                    <w:left w:val="none" w:sz="0" w:space="0" w:color="auto"/>
                    <w:bottom w:val="none" w:sz="0" w:space="0" w:color="auto"/>
                    <w:right w:val="none" w:sz="0" w:space="0" w:color="auto"/>
                  </w:divBdr>
                </w:div>
                <w:div w:id="1147237753">
                  <w:blockQuote w:val="1"/>
                  <w:marLeft w:val="600"/>
                  <w:marRight w:val="0"/>
                  <w:marTop w:val="120"/>
                  <w:marBottom w:val="120"/>
                  <w:divBdr>
                    <w:top w:val="none" w:sz="0" w:space="0" w:color="auto"/>
                    <w:left w:val="none" w:sz="0" w:space="0" w:color="auto"/>
                    <w:bottom w:val="none" w:sz="0" w:space="0" w:color="auto"/>
                    <w:right w:val="none" w:sz="0" w:space="0" w:color="auto"/>
                  </w:divBdr>
                </w:div>
                <w:div w:id="174714327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68467651">
                      <w:blockQuote w:val="1"/>
                      <w:marLeft w:val="600"/>
                      <w:marRight w:val="0"/>
                      <w:marTop w:val="120"/>
                      <w:marBottom w:val="120"/>
                      <w:divBdr>
                        <w:top w:val="none" w:sz="0" w:space="0" w:color="auto"/>
                        <w:left w:val="none" w:sz="0" w:space="0" w:color="auto"/>
                        <w:bottom w:val="none" w:sz="0" w:space="0" w:color="auto"/>
                        <w:right w:val="none" w:sz="0" w:space="0" w:color="auto"/>
                      </w:divBdr>
                    </w:div>
                    <w:div w:id="94242158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08980858">
                          <w:blockQuote w:val="1"/>
                          <w:marLeft w:val="600"/>
                          <w:marRight w:val="0"/>
                          <w:marTop w:val="120"/>
                          <w:marBottom w:val="120"/>
                          <w:divBdr>
                            <w:top w:val="none" w:sz="0" w:space="0" w:color="auto"/>
                            <w:left w:val="none" w:sz="0" w:space="0" w:color="auto"/>
                            <w:bottom w:val="none" w:sz="0" w:space="0" w:color="auto"/>
                            <w:right w:val="none" w:sz="0" w:space="0" w:color="auto"/>
                          </w:divBdr>
                        </w:div>
                        <w:div w:id="1416393065">
                          <w:blockQuote w:val="1"/>
                          <w:marLeft w:val="600"/>
                          <w:marRight w:val="0"/>
                          <w:marTop w:val="120"/>
                          <w:marBottom w:val="120"/>
                          <w:divBdr>
                            <w:top w:val="none" w:sz="0" w:space="0" w:color="auto"/>
                            <w:left w:val="none" w:sz="0" w:space="0" w:color="auto"/>
                            <w:bottom w:val="none" w:sz="0" w:space="0" w:color="auto"/>
                            <w:right w:val="none" w:sz="0" w:space="0" w:color="auto"/>
                          </w:divBdr>
                        </w:div>
                        <w:div w:id="183772543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9634096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3765115">
                      <w:blockQuote w:val="1"/>
                      <w:marLeft w:val="600"/>
                      <w:marRight w:val="0"/>
                      <w:marTop w:val="120"/>
                      <w:marBottom w:val="120"/>
                      <w:divBdr>
                        <w:top w:val="none" w:sz="0" w:space="0" w:color="auto"/>
                        <w:left w:val="none" w:sz="0" w:space="0" w:color="auto"/>
                        <w:bottom w:val="none" w:sz="0" w:space="0" w:color="auto"/>
                        <w:right w:val="none" w:sz="0" w:space="0" w:color="auto"/>
                      </w:divBdr>
                    </w:div>
                    <w:div w:id="88036577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259801541">
                  <w:blockQuote w:val="1"/>
                  <w:marLeft w:val="600"/>
                  <w:marRight w:val="0"/>
                  <w:marTop w:val="120"/>
                  <w:marBottom w:val="120"/>
                  <w:divBdr>
                    <w:top w:val="none" w:sz="0" w:space="0" w:color="auto"/>
                    <w:left w:val="none" w:sz="0" w:space="0" w:color="auto"/>
                    <w:bottom w:val="none" w:sz="0" w:space="0" w:color="auto"/>
                    <w:right w:val="none" w:sz="0" w:space="0" w:color="auto"/>
                  </w:divBdr>
                </w:div>
                <w:div w:id="55050508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347708965">
                      <w:blockQuote w:val="1"/>
                      <w:marLeft w:val="600"/>
                      <w:marRight w:val="0"/>
                      <w:marTop w:val="120"/>
                      <w:marBottom w:val="120"/>
                      <w:divBdr>
                        <w:top w:val="none" w:sz="0" w:space="0" w:color="auto"/>
                        <w:left w:val="none" w:sz="0" w:space="0" w:color="auto"/>
                        <w:bottom w:val="none" w:sz="0" w:space="0" w:color="auto"/>
                        <w:right w:val="none" w:sz="0" w:space="0" w:color="auto"/>
                      </w:divBdr>
                    </w:div>
                    <w:div w:id="17897889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963877961">
                  <w:blockQuote w:val="1"/>
                  <w:marLeft w:val="600"/>
                  <w:marRight w:val="0"/>
                  <w:marTop w:val="120"/>
                  <w:marBottom w:val="120"/>
                  <w:divBdr>
                    <w:top w:val="none" w:sz="0" w:space="0" w:color="auto"/>
                    <w:left w:val="none" w:sz="0" w:space="0" w:color="auto"/>
                    <w:bottom w:val="none" w:sz="0" w:space="0" w:color="auto"/>
                    <w:right w:val="none" w:sz="0" w:space="0" w:color="auto"/>
                  </w:divBdr>
                </w:div>
                <w:div w:id="489831962">
                  <w:blockQuote w:val="1"/>
                  <w:marLeft w:val="600"/>
                  <w:marRight w:val="0"/>
                  <w:marTop w:val="120"/>
                  <w:marBottom w:val="120"/>
                  <w:divBdr>
                    <w:top w:val="none" w:sz="0" w:space="0" w:color="auto"/>
                    <w:left w:val="none" w:sz="0" w:space="0" w:color="auto"/>
                    <w:bottom w:val="none" w:sz="0" w:space="0" w:color="auto"/>
                    <w:right w:val="none" w:sz="0" w:space="0" w:color="auto"/>
                  </w:divBdr>
                </w:div>
                <w:div w:id="34668587">
                  <w:blockQuote w:val="1"/>
                  <w:marLeft w:val="600"/>
                  <w:marRight w:val="0"/>
                  <w:marTop w:val="120"/>
                  <w:marBottom w:val="120"/>
                  <w:divBdr>
                    <w:top w:val="none" w:sz="0" w:space="0" w:color="auto"/>
                    <w:left w:val="none" w:sz="0" w:space="0" w:color="auto"/>
                    <w:bottom w:val="none" w:sz="0" w:space="0" w:color="auto"/>
                    <w:right w:val="none" w:sz="0" w:space="0" w:color="auto"/>
                  </w:divBdr>
                </w:div>
                <w:div w:id="203792509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62209542">
              <w:blockQuote w:val="1"/>
              <w:marLeft w:val="600"/>
              <w:marRight w:val="0"/>
              <w:marTop w:val="120"/>
              <w:marBottom w:val="120"/>
              <w:divBdr>
                <w:top w:val="none" w:sz="0" w:space="0" w:color="auto"/>
                <w:left w:val="none" w:sz="0" w:space="0" w:color="auto"/>
                <w:bottom w:val="none" w:sz="0" w:space="0" w:color="auto"/>
                <w:right w:val="none" w:sz="0" w:space="0" w:color="auto"/>
              </w:divBdr>
            </w:div>
            <w:div w:id="113117307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40444354">
                  <w:blockQuote w:val="1"/>
                  <w:marLeft w:val="0"/>
                  <w:marRight w:val="0"/>
                  <w:marTop w:val="120"/>
                  <w:marBottom w:val="120"/>
                  <w:divBdr>
                    <w:top w:val="none" w:sz="0" w:space="0" w:color="auto"/>
                    <w:left w:val="none" w:sz="0" w:space="0" w:color="auto"/>
                    <w:bottom w:val="none" w:sz="0" w:space="0" w:color="auto"/>
                    <w:right w:val="none" w:sz="0" w:space="0" w:color="auto"/>
                  </w:divBdr>
                </w:div>
                <w:div w:id="1523132449">
                  <w:blockQuote w:val="1"/>
                  <w:marLeft w:val="600"/>
                  <w:marRight w:val="0"/>
                  <w:marTop w:val="120"/>
                  <w:marBottom w:val="120"/>
                  <w:divBdr>
                    <w:top w:val="none" w:sz="0" w:space="0" w:color="auto"/>
                    <w:left w:val="none" w:sz="0" w:space="0" w:color="auto"/>
                    <w:bottom w:val="none" w:sz="0" w:space="0" w:color="auto"/>
                    <w:right w:val="none" w:sz="0" w:space="0" w:color="auto"/>
                  </w:divBdr>
                </w:div>
                <w:div w:id="79957127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614789">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 w:id="1792702194">
                  <w:blockQuote w:val="1"/>
                  <w:marLeft w:val="0"/>
                  <w:marRight w:val="0"/>
                  <w:marTop w:val="120"/>
                  <w:marBottom w:val="120"/>
                  <w:divBdr>
                    <w:top w:val="none" w:sz="0" w:space="0" w:color="auto"/>
                    <w:left w:val="none" w:sz="0" w:space="0" w:color="auto"/>
                    <w:bottom w:val="none" w:sz="0" w:space="0" w:color="auto"/>
                    <w:right w:val="none" w:sz="0" w:space="0" w:color="auto"/>
                  </w:divBdr>
                </w:div>
                <w:div w:id="1077289071">
                  <w:blockQuote w:val="1"/>
                  <w:marLeft w:val="0"/>
                  <w:marRight w:val="0"/>
                  <w:marTop w:val="120"/>
                  <w:marBottom w:val="120"/>
                  <w:divBdr>
                    <w:top w:val="none" w:sz="0" w:space="0" w:color="auto"/>
                    <w:left w:val="none" w:sz="0" w:space="0" w:color="auto"/>
                    <w:bottom w:val="none" w:sz="0" w:space="0" w:color="auto"/>
                    <w:right w:val="none" w:sz="0" w:space="0" w:color="auto"/>
                  </w:divBdr>
                </w:div>
                <w:div w:id="1406954256">
                  <w:blockQuote w:val="1"/>
                  <w:marLeft w:val="0"/>
                  <w:marRight w:val="0"/>
                  <w:marTop w:val="120"/>
                  <w:marBottom w:val="120"/>
                  <w:divBdr>
                    <w:top w:val="none" w:sz="0" w:space="0" w:color="auto"/>
                    <w:left w:val="none" w:sz="0" w:space="0" w:color="auto"/>
                    <w:bottom w:val="none" w:sz="0" w:space="0" w:color="auto"/>
                    <w:right w:val="none" w:sz="0" w:space="0" w:color="auto"/>
                  </w:divBdr>
                </w:div>
                <w:div w:id="1964656504">
                  <w:blockQuote w:val="1"/>
                  <w:marLeft w:val="0"/>
                  <w:marRight w:val="0"/>
                  <w:marTop w:val="120"/>
                  <w:marBottom w:val="120"/>
                  <w:divBdr>
                    <w:top w:val="none" w:sz="0" w:space="0" w:color="auto"/>
                    <w:left w:val="none" w:sz="0" w:space="0" w:color="auto"/>
                    <w:bottom w:val="none" w:sz="0" w:space="0" w:color="auto"/>
                    <w:right w:val="none" w:sz="0" w:space="0" w:color="auto"/>
                  </w:divBdr>
                </w:div>
                <w:div w:id="1382825044">
                  <w:blockQuote w:val="1"/>
                  <w:marLeft w:val="600"/>
                  <w:marRight w:val="0"/>
                  <w:marTop w:val="120"/>
                  <w:marBottom w:val="120"/>
                  <w:divBdr>
                    <w:top w:val="none" w:sz="0" w:space="0" w:color="auto"/>
                    <w:left w:val="none" w:sz="0" w:space="0" w:color="auto"/>
                    <w:bottom w:val="none" w:sz="0" w:space="0" w:color="auto"/>
                    <w:right w:val="none" w:sz="0" w:space="0" w:color="auto"/>
                  </w:divBdr>
                </w:div>
                <w:div w:id="2116316618">
                  <w:blockQuote w:val="1"/>
                  <w:marLeft w:val="600"/>
                  <w:marRight w:val="0"/>
                  <w:marTop w:val="120"/>
                  <w:marBottom w:val="120"/>
                  <w:divBdr>
                    <w:top w:val="none" w:sz="0" w:space="0" w:color="auto"/>
                    <w:left w:val="none" w:sz="0" w:space="0" w:color="auto"/>
                    <w:bottom w:val="none" w:sz="0" w:space="0" w:color="auto"/>
                    <w:right w:val="none" w:sz="0" w:space="0" w:color="auto"/>
                  </w:divBdr>
                </w:div>
                <w:div w:id="441457781">
                  <w:blockQuote w:val="1"/>
                  <w:marLeft w:val="600"/>
                  <w:marRight w:val="0"/>
                  <w:marTop w:val="120"/>
                  <w:marBottom w:val="120"/>
                  <w:divBdr>
                    <w:top w:val="none" w:sz="0" w:space="0" w:color="auto"/>
                    <w:left w:val="none" w:sz="0" w:space="0" w:color="auto"/>
                    <w:bottom w:val="none" w:sz="0" w:space="0" w:color="auto"/>
                    <w:right w:val="none" w:sz="0" w:space="0" w:color="auto"/>
                  </w:divBdr>
                </w:div>
                <w:div w:id="1067802738">
                  <w:blockQuote w:val="1"/>
                  <w:marLeft w:val="600"/>
                  <w:marRight w:val="0"/>
                  <w:marTop w:val="120"/>
                  <w:marBottom w:val="120"/>
                  <w:divBdr>
                    <w:top w:val="none" w:sz="0" w:space="0" w:color="auto"/>
                    <w:left w:val="none" w:sz="0" w:space="0" w:color="auto"/>
                    <w:bottom w:val="none" w:sz="0" w:space="0" w:color="auto"/>
                    <w:right w:val="none" w:sz="0" w:space="0" w:color="auto"/>
                  </w:divBdr>
                </w:div>
                <w:div w:id="531571202">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508525922">
      <w:bodyDiv w:val="1"/>
      <w:marLeft w:val="0"/>
      <w:marRight w:val="0"/>
      <w:marTop w:val="0"/>
      <w:marBottom w:val="0"/>
      <w:divBdr>
        <w:top w:val="none" w:sz="0" w:space="0" w:color="auto"/>
        <w:left w:val="none" w:sz="0" w:space="0" w:color="auto"/>
        <w:bottom w:val="none" w:sz="0" w:space="0" w:color="auto"/>
        <w:right w:val="none" w:sz="0" w:space="0" w:color="auto"/>
      </w:divBdr>
      <w:divsChild>
        <w:div w:id="180842885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496803087">
              <w:blockQuote w:val="1"/>
              <w:marLeft w:val="600"/>
              <w:marRight w:val="0"/>
              <w:marTop w:val="120"/>
              <w:marBottom w:val="120"/>
              <w:divBdr>
                <w:top w:val="none" w:sz="0" w:space="0" w:color="auto"/>
                <w:left w:val="none" w:sz="0" w:space="0" w:color="auto"/>
                <w:bottom w:val="none" w:sz="0" w:space="0" w:color="auto"/>
                <w:right w:val="none" w:sz="0" w:space="0" w:color="auto"/>
              </w:divBdr>
            </w:div>
            <w:div w:id="1232502533">
              <w:blockQuote w:val="1"/>
              <w:marLeft w:val="600"/>
              <w:marRight w:val="0"/>
              <w:marTop w:val="120"/>
              <w:marBottom w:val="120"/>
              <w:divBdr>
                <w:top w:val="none" w:sz="0" w:space="0" w:color="auto"/>
                <w:left w:val="none" w:sz="0" w:space="0" w:color="auto"/>
                <w:bottom w:val="none" w:sz="0" w:space="0" w:color="auto"/>
                <w:right w:val="none" w:sz="0" w:space="0" w:color="auto"/>
              </w:divBdr>
            </w:div>
            <w:div w:id="2137091626">
              <w:blockQuote w:val="1"/>
              <w:marLeft w:val="600"/>
              <w:marRight w:val="0"/>
              <w:marTop w:val="120"/>
              <w:marBottom w:val="120"/>
              <w:divBdr>
                <w:top w:val="none" w:sz="0" w:space="0" w:color="auto"/>
                <w:left w:val="none" w:sz="0" w:space="0" w:color="auto"/>
                <w:bottom w:val="none" w:sz="0" w:space="0" w:color="auto"/>
                <w:right w:val="none" w:sz="0" w:space="0" w:color="auto"/>
              </w:divBdr>
            </w:div>
            <w:div w:id="180855235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977565610">
      <w:bodyDiv w:val="1"/>
      <w:marLeft w:val="0"/>
      <w:marRight w:val="0"/>
      <w:marTop w:val="0"/>
      <w:marBottom w:val="0"/>
      <w:divBdr>
        <w:top w:val="none" w:sz="0" w:space="0" w:color="auto"/>
        <w:left w:val="none" w:sz="0" w:space="0" w:color="auto"/>
        <w:bottom w:val="none" w:sz="0" w:space="0" w:color="auto"/>
        <w:right w:val="none" w:sz="0" w:space="0" w:color="auto"/>
      </w:divBdr>
      <w:divsChild>
        <w:div w:id="98778422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9911241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44795407">
                  <w:blockQuote w:val="1"/>
                  <w:marLeft w:val="600"/>
                  <w:marRight w:val="0"/>
                  <w:marTop w:val="120"/>
                  <w:marBottom w:val="120"/>
                  <w:divBdr>
                    <w:top w:val="none" w:sz="0" w:space="0" w:color="auto"/>
                    <w:left w:val="none" w:sz="0" w:space="0" w:color="auto"/>
                    <w:bottom w:val="none" w:sz="0" w:space="0" w:color="auto"/>
                    <w:right w:val="none" w:sz="0" w:space="0" w:color="auto"/>
                  </w:divBdr>
                </w:div>
                <w:div w:id="128183836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41714121">
                      <w:blockQuote w:val="1"/>
                      <w:marLeft w:val="600"/>
                      <w:marRight w:val="0"/>
                      <w:marTop w:val="120"/>
                      <w:marBottom w:val="120"/>
                      <w:divBdr>
                        <w:top w:val="none" w:sz="0" w:space="0" w:color="auto"/>
                        <w:left w:val="none" w:sz="0" w:space="0" w:color="auto"/>
                        <w:bottom w:val="none" w:sz="0" w:space="0" w:color="auto"/>
                        <w:right w:val="none" w:sz="0" w:space="0" w:color="auto"/>
                      </w:divBdr>
                    </w:div>
                    <w:div w:id="193096642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112901241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93110193">
                  <w:blockQuote w:val="1"/>
                  <w:marLeft w:val="600"/>
                  <w:marRight w:val="0"/>
                  <w:marTop w:val="120"/>
                  <w:marBottom w:val="120"/>
                  <w:divBdr>
                    <w:top w:val="none" w:sz="0" w:space="0" w:color="auto"/>
                    <w:left w:val="none" w:sz="0" w:space="0" w:color="auto"/>
                    <w:bottom w:val="none" w:sz="0" w:space="0" w:color="auto"/>
                    <w:right w:val="none" w:sz="0" w:space="0" w:color="auto"/>
                  </w:divBdr>
                </w:div>
                <w:div w:id="202069481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214187463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60380381">
                  <w:blockQuote w:val="1"/>
                  <w:marLeft w:val="0"/>
                  <w:marRight w:val="0"/>
                  <w:marTop w:val="120"/>
                  <w:marBottom w:val="120"/>
                  <w:divBdr>
                    <w:top w:val="none" w:sz="0" w:space="0" w:color="auto"/>
                    <w:left w:val="none" w:sz="0" w:space="0" w:color="auto"/>
                    <w:bottom w:val="none" w:sz="0" w:space="0" w:color="auto"/>
                    <w:right w:val="none" w:sz="0" w:space="0" w:color="auto"/>
                  </w:divBdr>
                </w:div>
                <w:div w:id="972363939">
                  <w:blockQuote w:val="1"/>
                  <w:marLeft w:val="600"/>
                  <w:marRight w:val="0"/>
                  <w:marTop w:val="120"/>
                  <w:marBottom w:val="120"/>
                  <w:divBdr>
                    <w:top w:val="none" w:sz="0" w:space="0" w:color="auto"/>
                    <w:left w:val="none" w:sz="0" w:space="0" w:color="auto"/>
                    <w:bottom w:val="none" w:sz="0" w:space="0" w:color="auto"/>
                    <w:right w:val="none" w:sz="0" w:space="0" w:color="auto"/>
                  </w:divBdr>
                </w:div>
                <w:div w:id="943923110">
                  <w:blockQuote w:val="1"/>
                  <w:marLeft w:val="600"/>
                  <w:marRight w:val="0"/>
                  <w:marTop w:val="120"/>
                  <w:marBottom w:val="120"/>
                  <w:divBdr>
                    <w:top w:val="none" w:sz="0" w:space="0" w:color="auto"/>
                    <w:left w:val="none" w:sz="0" w:space="0" w:color="auto"/>
                    <w:bottom w:val="none" w:sz="0" w:space="0" w:color="auto"/>
                    <w:right w:val="none" w:sz="0" w:space="0" w:color="auto"/>
                  </w:divBdr>
                </w:div>
                <w:div w:id="650988164">
                  <w:blockQuote w:val="1"/>
                  <w:marLeft w:val="0"/>
                  <w:marRight w:val="0"/>
                  <w:marTop w:val="120"/>
                  <w:marBottom w:val="120"/>
                  <w:divBdr>
                    <w:top w:val="none" w:sz="0" w:space="0" w:color="auto"/>
                    <w:left w:val="none" w:sz="0" w:space="0" w:color="auto"/>
                    <w:bottom w:val="none" w:sz="0" w:space="0" w:color="auto"/>
                    <w:right w:val="none" w:sz="0" w:space="0" w:color="auto"/>
                  </w:divBdr>
                </w:div>
                <w:div w:id="1170755381">
                  <w:blockQuote w:val="1"/>
                  <w:marLeft w:val="600"/>
                  <w:marRight w:val="0"/>
                  <w:marTop w:val="120"/>
                  <w:marBottom w:val="120"/>
                  <w:divBdr>
                    <w:top w:val="none" w:sz="0" w:space="0" w:color="auto"/>
                    <w:left w:val="none" w:sz="0" w:space="0" w:color="auto"/>
                    <w:bottom w:val="none" w:sz="0" w:space="0" w:color="auto"/>
                    <w:right w:val="none" w:sz="0" w:space="0" w:color="auto"/>
                  </w:divBdr>
                </w:div>
                <w:div w:id="1369449008">
                  <w:blockQuote w:val="1"/>
                  <w:marLeft w:val="600"/>
                  <w:marRight w:val="0"/>
                  <w:marTop w:val="120"/>
                  <w:marBottom w:val="120"/>
                  <w:divBdr>
                    <w:top w:val="none" w:sz="0" w:space="0" w:color="auto"/>
                    <w:left w:val="none" w:sz="0" w:space="0" w:color="auto"/>
                    <w:bottom w:val="none" w:sz="0" w:space="0" w:color="auto"/>
                    <w:right w:val="none" w:sz="0" w:space="0" w:color="auto"/>
                  </w:divBdr>
                </w:div>
                <w:div w:id="809521895">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213422274">
      <w:bodyDiv w:val="1"/>
      <w:marLeft w:val="0"/>
      <w:marRight w:val="0"/>
      <w:marTop w:val="0"/>
      <w:marBottom w:val="0"/>
      <w:divBdr>
        <w:top w:val="none" w:sz="0" w:space="0" w:color="auto"/>
        <w:left w:val="none" w:sz="0" w:space="0" w:color="auto"/>
        <w:bottom w:val="none" w:sz="0" w:space="0" w:color="auto"/>
        <w:right w:val="none" w:sz="0" w:space="0" w:color="auto"/>
      </w:divBdr>
      <w:divsChild>
        <w:div w:id="128595530">
          <w:marLeft w:val="0"/>
          <w:marRight w:val="0"/>
          <w:marTop w:val="0"/>
          <w:marBottom w:val="450"/>
          <w:divBdr>
            <w:top w:val="none" w:sz="0" w:space="0" w:color="auto"/>
            <w:left w:val="none" w:sz="0" w:space="0" w:color="auto"/>
            <w:bottom w:val="none" w:sz="0" w:space="0" w:color="auto"/>
            <w:right w:val="none" w:sz="0" w:space="0" w:color="auto"/>
          </w:divBdr>
        </w:div>
      </w:divsChild>
    </w:div>
    <w:div w:id="1560357271">
      <w:bodyDiv w:val="1"/>
      <w:marLeft w:val="0"/>
      <w:marRight w:val="0"/>
      <w:marTop w:val="0"/>
      <w:marBottom w:val="0"/>
      <w:divBdr>
        <w:top w:val="none" w:sz="0" w:space="0" w:color="auto"/>
        <w:left w:val="none" w:sz="0" w:space="0" w:color="auto"/>
        <w:bottom w:val="none" w:sz="0" w:space="0" w:color="auto"/>
        <w:right w:val="none" w:sz="0" w:space="0" w:color="auto"/>
      </w:divBdr>
      <w:divsChild>
        <w:div w:id="490410978">
          <w:marLeft w:val="0"/>
          <w:marRight w:val="0"/>
          <w:marTop w:val="0"/>
          <w:marBottom w:val="0"/>
          <w:divBdr>
            <w:top w:val="none" w:sz="0" w:space="0" w:color="auto"/>
            <w:left w:val="none" w:sz="0" w:space="0" w:color="auto"/>
            <w:bottom w:val="none" w:sz="0" w:space="0" w:color="auto"/>
            <w:right w:val="none" w:sz="0" w:space="0" w:color="auto"/>
          </w:divBdr>
          <w:divsChild>
            <w:div w:id="450829151">
              <w:marLeft w:val="0"/>
              <w:marRight w:val="0"/>
              <w:marTop w:val="0"/>
              <w:marBottom w:val="0"/>
              <w:divBdr>
                <w:top w:val="none" w:sz="0" w:space="0" w:color="auto"/>
                <w:left w:val="none" w:sz="0" w:space="0" w:color="auto"/>
                <w:bottom w:val="none" w:sz="0" w:space="0" w:color="auto"/>
                <w:right w:val="none" w:sz="0" w:space="0" w:color="auto"/>
              </w:divBdr>
              <w:divsChild>
                <w:div w:id="1306936402">
                  <w:marLeft w:val="0"/>
                  <w:marRight w:val="-6300"/>
                  <w:marTop w:val="0"/>
                  <w:marBottom w:val="0"/>
                  <w:divBdr>
                    <w:top w:val="none" w:sz="0" w:space="0" w:color="auto"/>
                    <w:left w:val="none" w:sz="0" w:space="0" w:color="auto"/>
                    <w:bottom w:val="none" w:sz="0" w:space="0" w:color="auto"/>
                    <w:right w:val="none" w:sz="0" w:space="0" w:color="auto"/>
                  </w:divBdr>
                  <w:divsChild>
                    <w:div w:id="1669750205">
                      <w:marLeft w:val="340"/>
                      <w:marRight w:val="0"/>
                      <w:marTop w:val="300"/>
                      <w:marBottom w:val="120"/>
                      <w:divBdr>
                        <w:top w:val="none" w:sz="0" w:space="0" w:color="auto"/>
                        <w:left w:val="none" w:sz="0" w:space="0" w:color="auto"/>
                        <w:bottom w:val="none" w:sz="0" w:space="0" w:color="auto"/>
                        <w:right w:val="none" w:sz="0" w:space="0" w:color="auto"/>
                      </w:divBdr>
                      <w:divsChild>
                        <w:div w:id="44060750">
                          <w:marLeft w:val="0"/>
                          <w:marRight w:val="0"/>
                          <w:marTop w:val="0"/>
                          <w:marBottom w:val="0"/>
                          <w:divBdr>
                            <w:top w:val="none" w:sz="0" w:space="0" w:color="auto"/>
                            <w:left w:val="none" w:sz="0" w:space="0" w:color="auto"/>
                            <w:bottom w:val="none" w:sz="0" w:space="0" w:color="auto"/>
                            <w:right w:val="none" w:sz="0" w:space="0" w:color="auto"/>
                          </w:divBdr>
                          <w:divsChild>
                            <w:div w:id="408432593">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13424877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392582546">
                                      <w:blockQuote w:val="1"/>
                                      <w:marLeft w:val="600"/>
                                      <w:marRight w:val="0"/>
                                      <w:marTop w:val="120"/>
                                      <w:marBottom w:val="120"/>
                                      <w:divBdr>
                                        <w:top w:val="none" w:sz="0" w:space="0" w:color="auto"/>
                                        <w:left w:val="none" w:sz="0" w:space="0" w:color="auto"/>
                                        <w:bottom w:val="none" w:sz="0" w:space="0" w:color="auto"/>
                                        <w:right w:val="none" w:sz="0" w:space="0" w:color="auto"/>
                                      </w:divBdr>
                                    </w:div>
                                    <w:div w:id="995840662">
                                      <w:blockQuote w:val="1"/>
                                      <w:marLeft w:val="600"/>
                                      <w:marRight w:val="0"/>
                                      <w:marTop w:val="120"/>
                                      <w:marBottom w:val="120"/>
                                      <w:divBdr>
                                        <w:top w:val="none" w:sz="0" w:space="0" w:color="auto"/>
                                        <w:left w:val="none" w:sz="0" w:space="0" w:color="auto"/>
                                        <w:bottom w:val="none" w:sz="0" w:space="0" w:color="auto"/>
                                        <w:right w:val="none" w:sz="0" w:space="0" w:color="auto"/>
                                      </w:divBdr>
                                    </w:div>
                                    <w:div w:id="1508448934">
                                      <w:blockQuote w:val="1"/>
                                      <w:marLeft w:val="600"/>
                                      <w:marRight w:val="0"/>
                                      <w:marTop w:val="120"/>
                                      <w:marBottom w:val="120"/>
                                      <w:divBdr>
                                        <w:top w:val="none" w:sz="0" w:space="0" w:color="auto"/>
                                        <w:left w:val="none" w:sz="0" w:space="0" w:color="auto"/>
                                        <w:bottom w:val="none" w:sz="0" w:space="0" w:color="auto"/>
                                        <w:right w:val="none" w:sz="0" w:space="0" w:color="auto"/>
                                      </w:divBdr>
                                    </w:div>
                                    <w:div w:id="52652332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349327441">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 w:id="102833713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83023423">
                                      <w:blockQuote w:val="1"/>
                                      <w:marLeft w:val="600"/>
                                      <w:marRight w:val="0"/>
                                      <w:marTop w:val="120"/>
                                      <w:marBottom w:val="120"/>
                                      <w:divBdr>
                                        <w:top w:val="none" w:sz="0" w:space="0" w:color="auto"/>
                                        <w:left w:val="none" w:sz="0" w:space="0" w:color="auto"/>
                                        <w:bottom w:val="none" w:sz="0" w:space="0" w:color="auto"/>
                                        <w:right w:val="none" w:sz="0" w:space="0" w:color="auto"/>
                                      </w:divBdr>
                                    </w:div>
                                    <w:div w:id="47241149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918</Words>
  <Characters>5238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Lestar Manning - p&amp;e Law</dc:creator>
  <cp:keywords/>
  <dc:description/>
  <cp:lastModifiedBy>Andrew Willimas - p&amp;e Law</cp:lastModifiedBy>
  <cp:revision>3</cp:revision>
  <cp:lastPrinted>2021-10-28T00:19:00Z</cp:lastPrinted>
  <dcterms:created xsi:type="dcterms:W3CDTF">2021-10-29T01:33:00Z</dcterms:created>
  <dcterms:modified xsi:type="dcterms:W3CDTF">2023-04-18T03:52:00Z</dcterms:modified>
</cp:coreProperties>
</file>